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72B08D6" w14:textId="7E729FF3" w:rsidR="00275AE3" w:rsidRPr="00B669A0" w:rsidRDefault="00B669A0" w:rsidP="00B669A0">
      <w:pPr>
        <w:spacing w:after="0"/>
        <w:jc w:val="center"/>
        <w:rPr>
          <w:b/>
          <w:bCs/>
          <w:lang w:val="en-GB"/>
        </w:rPr>
      </w:pPr>
      <w:r w:rsidRPr="00B669A0">
        <w:rPr>
          <w:b/>
          <w:bCs/>
          <w:lang w:val="en-GB"/>
        </w:rPr>
        <w:t>TARGETED STAKEHOLDER CONSULTATION 2021 RULE OF LAW REPORT</w:t>
      </w:r>
    </w:p>
    <w:p w14:paraId="23699319" w14:textId="575C3A05" w:rsidR="00B669A0" w:rsidRPr="00B669A0" w:rsidRDefault="00B669A0" w:rsidP="00B669A0">
      <w:pPr>
        <w:spacing w:after="0"/>
        <w:jc w:val="center"/>
        <w:rPr>
          <w:b/>
          <w:bCs/>
          <w:lang w:val="en-AU"/>
        </w:rPr>
      </w:pPr>
      <w:r w:rsidRPr="00B669A0">
        <w:rPr>
          <w:b/>
          <w:bCs/>
          <w:lang w:val="en-AU"/>
        </w:rPr>
        <w:t>UN HUMAN RIGHTS REGIONAL OFFICE FOR EUROPE (OHCHR)</w:t>
      </w:r>
    </w:p>
    <w:p w14:paraId="56642246" w14:textId="77777777" w:rsidR="00B669A0" w:rsidRPr="00B669A0" w:rsidRDefault="00B669A0" w:rsidP="00B669A0">
      <w:pPr>
        <w:spacing w:after="0"/>
        <w:rPr>
          <w:b/>
          <w:bCs/>
          <w:lang w:val="en-AU"/>
        </w:rPr>
      </w:pPr>
    </w:p>
    <w:p w14:paraId="465166AB" w14:textId="3E4CEAC0" w:rsidR="001B7CA2" w:rsidRPr="0002213A" w:rsidRDefault="00D6657B" w:rsidP="00B669A0">
      <w:pPr>
        <w:pBdr>
          <w:bottom w:val="single" w:sz="4" w:space="1" w:color="auto"/>
        </w:pBdr>
        <w:rPr>
          <w:b/>
          <w:bCs/>
          <w:lang w:val="en-GB"/>
        </w:rPr>
      </w:pPr>
      <w:r w:rsidRPr="0002213A">
        <w:rPr>
          <w:b/>
          <w:lang w:val="en-AU"/>
        </w:rPr>
        <w:t xml:space="preserve">POLAND </w:t>
      </w:r>
      <w:r w:rsidR="00B669A0" w:rsidRPr="0002213A">
        <w:rPr>
          <w:b/>
          <w:bCs/>
          <w:lang w:val="en-AU"/>
        </w:rPr>
        <w:t>REVIEW</w:t>
      </w:r>
    </w:p>
    <w:p w14:paraId="2EEF89E7" w14:textId="77777777" w:rsidR="001B7CA2" w:rsidRPr="001B7CA2" w:rsidRDefault="001B7CA2" w:rsidP="001B7CA2">
      <w:pPr>
        <w:rPr>
          <w:lang w:val="en-GB"/>
        </w:rPr>
      </w:pPr>
      <w:r w:rsidRPr="001B7CA2">
        <w:rPr>
          <w:b/>
          <w:bCs/>
          <w:lang w:val="en-GB"/>
        </w:rPr>
        <w:t xml:space="preserve">I. Justice System </w:t>
      </w:r>
    </w:p>
    <w:p w14:paraId="368A2681" w14:textId="77777777" w:rsidR="001B7CA2" w:rsidRPr="001B7CA2" w:rsidRDefault="001B7CA2" w:rsidP="001B7CA2">
      <w:pPr>
        <w:rPr>
          <w:lang w:val="en-GB"/>
        </w:rPr>
      </w:pPr>
      <w:r w:rsidRPr="001B7CA2">
        <w:rPr>
          <w:b/>
          <w:bCs/>
          <w:i/>
          <w:iCs/>
          <w:lang w:val="en-GB"/>
        </w:rPr>
        <w:t xml:space="preserve">A. Independence </w:t>
      </w:r>
    </w:p>
    <w:p w14:paraId="6CF3F68E" w14:textId="77777777" w:rsidR="001B7CA2" w:rsidRPr="001B7CA2" w:rsidRDefault="001B7CA2" w:rsidP="001B7CA2">
      <w:pPr>
        <w:rPr>
          <w:lang w:val="en-GB"/>
        </w:rPr>
      </w:pPr>
      <w:r w:rsidRPr="001B7CA2">
        <w:rPr>
          <w:i/>
          <w:iCs/>
          <w:lang w:val="en-GB"/>
        </w:rPr>
        <w:t xml:space="preserve">1. Appointment and selection of judges, prosecutors and court presidents </w:t>
      </w:r>
    </w:p>
    <w:p w14:paraId="6646A1AA" w14:textId="22AC0F2D" w:rsidR="001B7CA2" w:rsidRDefault="001B7CA2" w:rsidP="001B7CA2">
      <w:pPr>
        <w:rPr>
          <w:i/>
          <w:iCs/>
          <w:lang w:val="en-GB"/>
        </w:rPr>
      </w:pPr>
      <w:r w:rsidRPr="001B7CA2">
        <w:rPr>
          <w:i/>
          <w:iCs/>
          <w:lang w:val="en-GB"/>
        </w:rPr>
        <w:t xml:space="preserve">2. Irremovability of judges; including transfers, dismissal and retirement regime of judges, court presidents and prosecutors </w:t>
      </w:r>
    </w:p>
    <w:p w14:paraId="3DCEED84" w14:textId="3B330DBF" w:rsidR="00445679" w:rsidRPr="00962913" w:rsidRDefault="00445679" w:rsidP="00962913">
      <w:pPr>
        <w:pStyle w:val="CommentText"/>
        <w:jc w:val="both"/>
        <w:rPr>
          <w:lang w:val="en-US"/>
        </w:rPr>
      </w:pPr>
      <w:r w:rsidRPr="00B0564B">
        <w:rPr>
          <w:iCs/>
          <w:sz w:val="22"/>
          <w:szCs w:val="22"/>
          <w:lang w:val="en-GB"/>
        </w:rPr>
        <w:t>In the 2020 report following h</w:t>
      </w:r>
      <w:r w:rsidR="0030165D">
        <w:rPr>
          <w:iCs/>
          <w:sz w:val="22"/>
          <w:szCs w:val="22"/>
          <w:lang w:val="en-GB"/>
        </w:rPr>
        <w:t>er</w:t>
      </w:r>
      <w:r w:rsidRPr="00B0564B">
        <w:rPr>
          <w:iCs/>
          <w:sz w:val="22"/>
          <w:szCs w:val="22"/>
          <w:lang w:val="en-GB"/>
        </w:rPr>
        <w:t xml:space="preserve"> visit to Poland, the UN Special Rapporteur in the field of cultural rights noted that c</w:t>
      </w:r>
      <w:r w:rsidRPr="00B0564B">
        <w:rPr>
          <w:sz w:val="22"/>
          <w:szCs w:val="22"/>
          <w:lang w:val="en-GB"/>
        </w:rPr>
        <w:t xml:space="preserve">hanging the rules governing the appointment and dismissal of judges had eroded the rule of law and the system of checks and balances in Poland. Respect for the Constitution and safeguarding of the independence of the judiciary, which ensured its implementation, were among the most important steps that must be taken to secure human rights. Many individuals facing violations of their cultural rights had indicated that the independence of the judiciary and the strength of the court system represented their best hope for justice and protection against abuse. The </w:t>
      </w:r>
      <w:r>
        <w:rPr>
          <w:sz w:val="22"/>
          <w:szCs w:val="22"/>
          <w:lang w:val="en-GB"/>
        </w:rPr>
        <w:t>expert</w:t>
      </w:r>
      <w:r w:rsidRPr="00B0564B">
        <w:rPr>
          <w:sz w:val="22"/>
          <w:szCs w:val="22"/>
          <w:lang w:val="en-GB"/>
        </w:rPr>
        <w:t xml:space="preserve"> refer</w:t>
      </w:r>
      <w:r>
        <w:rPr>
          <w:sz w:val="22"/>
          <w:szCs w:val="22"/>
          <w:lang w:val="en-GB"/>
        </w:rPr>
        <w:t>r</w:t>
      </w:r>
      <w:r w:rsidRPr="00B0564B">
        <w:rPr>
          <w:sz w:val="22"/>
          <w:szCs w:val="22"/>
          <w:lang w:val="en-GB"/>
        </w:rPr>
        <w:t>ed the Government to the recommendations of the Special Rapporteur on the independence of judges and lawyers on his mission to Poland and stressed the importance of their full and timely implementation(</w:t>
      </w:r>
      <w:hyperlink r:id="rId8" w:history="1">
        <w:r w:rsidRPr="00B0564B">
          <w:rPr>
            <w:rStyle w:val="Hyperlink"/>
            <w:sz w:val="22"/>
            <w:szCs w:val="22"/>
            <w:lang w:val="en-US"/>
          </w:rPr>
          <w:t>A/HRC/43/50/Add.1</w:t>
        </w:r>
      </w:hyperlink>
      <w:r w:rsidRPr="00B0564B">
        <w:rPr>
          <w:sz w:val="22"/>
          <w:szCs w:val="22"/>
          <w:lang w:val="en-US"/>
        </w:rPr>
        <w:t>, para 17)</w:t>
      </w:r>
    </w:p>
    <w:p w14:paraId="3EB4EF2B" w14:textId="77777777" w:rsidR="001B7CA2" w:rsidRPr="001B7CA2" w:rsidRDefault="001B7CA2" w:rsidP="001B7CA2">
      <w:pPr>
        <w:rPr>
          <w:lang w:val="en-GB"/>
        </w:rPr>
      </w:pPr>
      <w:r w:rsidRPr="001B7CA2">
        <w:rPr>
          <w:i/>
          <w:iCs/>
          <w:lang w:val="en-GB"/>
        </w:rPr>
        <w:t xml:space="preserve">3. Promotion of judges and prosecutors </w:t>
      </w:r>
    </w:p>
    <w:p w14:paraId="3E481A7D" w14:textId="77777777" w:rsidR="001B7CA2" w:rsidRPr="001B7CA2" w:rsidRDefault="001B7CA2" w:rsidP="001B7CA2">
      <w:pPr>
        <w:rPr>
          <w:lang w:val="en-GB"/>
        </w:rPr>
      </w:pPr>
      <w:r w:rsidRPr="001B7CA2">
        <w:rPr>
          <w:i/>
          <w:iCs/>
          <w:lang w:val="en-GB"/>
        </w:rPr>
        <w:t xml:space="preserve">4. Allocation of cases in courts </w:t>
      </w:r>
    </w:p>
    <w:p w14:paraId="6F2D0D64" w14:textId="4E6C0875" w:rsidR="001B7CA2" w:rsidRDefault="001B7CA2" w:rsidP="001B7CA2">
      <w:pPr>
        <w:rPr>
          <w:i/>
          <w:iCs/>
          <w:lang w:val="en-GB"/>
        </w:rPr>
      </w:pPr>
      <w:r w:rsidRPr="001B7CA2">
        <w:rPr>
          <w:i/>
          <w:iCs/>
          <w:lang w:val="en-GB"/>
        </w:rPr>
        <w:t xml:space="preserve">5. Independence (including composition and nomination of its members), and powers of the body tasked with safeguarding the independence of the judiciary (e.g. Council for the Judiciary) </w:t>
      </w:r>
    </w:p>
    <w:p w14:paraId="2E67A952" w14:textId="0564B13A" w:rsidR="001B7CA2" w:rsidRDefault="001B7CA2" w:rsidP="001B7CA2">
      <w:pPr>
        <w:rPr>
          <w:i/>
          <w:iCs/>
          <w:lang w:val="en-GB"/>
        </w:rPr>
      </w:pPr>
      <w:r w:rsidRPr="001B7CA2">
        <w:rPr>
          <w:i/>
          <w:iCs/>
          <w:lang w:val="en-GB"/>
        </w:rPr>
        <w:t xml:space="preserve">6. Accountability of judges and prosecutors, including disciplinary regime and bodies and ethical rules, judicial immunity and criminal liability of judges. </w:t>
      </w:r>
    </w:p>
    <w:p w14:paraId="2BA1C9CB" w14:textId="1183EAB4" w:rsidR="00252C8E" w:rsidRDefault="005C4199" w:rsidP="00962913">
      <w:pPr>
        <w:jc w:val="both"/>
        <w:rPr>
          <w:lang w:val="en-AU"/>
        </w:rPr>
      </w:pPr>
      <w:r>
        <w:rPr>
          <w:iCs/>
          <w:lang w:val="en-GB"/>
        </w:rPr>
        <w:t xml:space="preserve">In 2019, the </w:t>
      </w:r>
      <w:r w:rsidR="00B06121">
        <w:rPr>
          <w:iCs/>
          <w:lang w:val="en-GB"/>
        </w:rPr>
        <w:t xml:space="preserve">UN </w:t>
      </w:r>
      <w:r w:rsidRPr="005C4199">
        <w:rPr>
          <w:iCs/>
          <w:lang w:val="en-GB"/>
        </w:rPr>
        <w:t>Special Rapporteur on the</w:t>
      </w:r>
      <w:r>
        <w:rPr>
          <w:iCs/>
          <w:lang w:val="en-GB"/>
        </w:rPr>
        <w:t xml:space="preserve"> </w:t>
      </w:r>
      <w:r w:rsidRPr="005C4199">
        <w:rPr>
          <w:iCs/>
          <w:lang w:val="en-GB"/>
        </w:rPr>
        <w:t>independence of judges and lawyers</w:t>
      </w:r>
      <w:r>
        <w:rPr>
          <w:iCs/>
          <w:lang w:val="en-GB"/>
        </w:rPr>
        <w:t xml:space="preserve"> initiated a </w:t>
      </w:r>
      <w:r w:rsidR="00B06121">
        <w:rPr>
          <w:iCs/>
          <w:lang w:val="en-GB"/>
        </w:rPr>
        <w:t xml:space="preserve">dialogue </w:t>
      </w:r>
      <w:r>
        <w:rPr>
          <w:iCs/>
          <w:lang w:val="en-GB"/>
        </w:rPr>
        <w:t xml:space="preserve">regarding </w:t>
      </w:r>
      <w:r w:rsidRPr="005C4199">
        <w:rPr>
          <w:iCs/>
          <w:lang w:val="en-GB"/>
        </w:rPr>
        <w:t>Justice Alina Czubieniak, who ha</w:t>
      </w:r>
      <w:r w:rsidR="00B06121">
        <w:rPr>
          <w:iCs/>
          <w:lang w:val="en-GB"/>
        </w:rPr>
        <w:t xml:space="preserve">d </w:t>
      </w:r>
      <w:r w:rsidRPr="005C4199">
        <w:rPr>
          <w:iCs/>
          <w:lang w:val="en-GB"/>
        </w:rPr>
        <w:t xml:space="preserve">been subject to disciplinary proceedings </w:t>
      </w:r>
      <w:r w:rsidR="00B06121">
        <w:rPr>
          <w:iCs/>
          <w:lang w:val="en-GB"/>
        </w:rPr>
        <w:t xml:space="preserve">and sanctions </w:t>
      </w:r>
      <w:r w:rsidRPr="005C4199">
        <w:rPr>
          <w:iCs/>
          <w:lang w:val="en-GB"/>
        </w:rPr>
        <w:t>as a consequence of a decision she took</w:t>
      </w:r>
      <w:r>
        <w:rPr>
          <w:iCs/>
          <w:lang w:val="en-GB"/>
        </w:rPr>
        <w:t xml:space="preserve"> </w:t>
      </w:r>
      <w:r w:rsidRPr="005C4199">
        <w:rPr>
          <w:iCs/>
          <w:lang w:val="en-GB"/>
        </w:rPr>
        <w:t>in the legitimate exe</w:t>
      </w:r>
      <w:r>
        <w:rPr>
          <w:iCs/>
          <w:lang w:val="en-GB"/>
        </w:rPr>
        <w:t>rcise of her judicial functions</w:t>
      </w:r>
      <w:r w:rsidR="00DF181A">
        <w:rPr>
          <w:iCs/>
          <w:lang w:val="en-GB"/>
        </w:rPr>
        <w:t>. T</w:t>
      </w:r>
      <w:r w:rsidRPr="005C4199">
        <w:rPr>
          <w:iCs/>
          <w:lang w:val="en-GB"/>
        </w:rPr>
        <w:t>he disciplinary proceedings initi</w:t>
      </w:r>
      <w:r w:rsidR="00DF181A">
        <w:rPr>
          <w:iCs/>
          <w:lang w:val="en-GB"/>
        </w:rPr>
        <w:t>ated against the judge followed</w:t>
      </w:r>
      <w:r w:rsidRPr="005C4199">
        <w:rPr>
          <w:iCs/>
          <w:lang w:val="en-GB"/>
        </w:rPr>
        <w:t xml:space="preserve"> the</w:t>
      </w:r>
      <w:r>
        <w:rPr>
          <w:iCs/>
          <w:lang w:val="en-GB"/>
        </w:rPr>
        <w:t xml:space="preserve"> </w:t>
      </w:r>
      <w:r w:rsidRPr="005C4199">
        <w:rPr>
          <w:iCs/>
          <w:lang w:val="en-GB"/>
        </w:rPr>
        <w:t>exercise of her freedom of expression</w:t>
      </w:r>
      <w:r w:rsidR="00DF181A">
        <w:rPr>
          <w:iCs/>
          <w:lang w:val="en-GB"/>
        </w:rPr>
        <w:t>.</w:t>
      </w:r>
      <w:r w:rsidR="00B06121" w:rsidRPr="00B06121">
        <w:rPr>
          <w:iCs/>
          <w:lang w:val="en-GB"/>
        </w:rPr>
        <w:t xml:space="preserve"> </w:t>
      </w:r>
      <w:r w:rsidR="00B06121">
        <w:rPr>
          <w:iCs/>
          <w:lang w:val="en-GB"/>
        </w:rPr>
        <w:t>(</w:t>
      </w:r>
      <w:hyperlink r:id="rId9" w:history="1">
        <w:r w:rsidR="00B06121" w:rsidRPr="00B06121">
          <w:rPr>
            <w:rStyle w:val="Hyperlink"/>
            <w:iCs/>
            <w:lang w:val="en-GB"/>
          </w:rPr>
          <w:t>POL 3/2019</w:t>
        </w:r>
      </w:hyperlink>
      <w:r w:rsidR="00B06121">
        <w:rPr>
          <w:iCs/>
          <w:lang w:val="en-GB"/>
        </w:rPr>
        <w:t xml:space="preserve">, </w:t>
      </w:r>
      <w:r w:rsidR="00B06121">
        <w:rPr>
          <w:lang w:val="en-GB"/>
        </w:rPr>
        <w:t>a</w:t>
      </w:r>
      <w:r w:rsidR="00F767DF" w:rsidRPr="00962913">
        <w:rPr>
          <w:lang w:val="en-GB"/>
        </w:rPr>
        <w:t xml:space="preserve">vailable at </w:t>
      </w:r>
      <w:hyperlink r:id="rId10" w:history="1">
        <w:r w:rsidR="002668EA" w:rsidRPr="002668EA">
          <w:rPr>
            <w:rStyle w:val="Hyperlink"/>
            <w:lang w:val="en-US"/>
          </w:rPr>
          <w:t>https://spcommreports.ohchr.org/Tmsearch/TMDocuments</w:t>
        </w:r>
      </w:hyperlink>
      <w:r w:rsidR="002668EA" w:rsidRPr="002668EA">
        <w:rPr>
          <w:lang w:val="en-US"/>
        </w:rPr>
        <w:t>)</w:t>
      </w:r>
      <w:r w:rsidR="002668EA" w:rsidRPr="002668EA">
        <w:rPr>
          <w:lang w:val="en-AU"/>
        </w:rPr>
        <w:t xml:space="preserve">. </w:t>
      </w:r>
    </w:p>
    <w:p w14:paraId="78DF34ED" w14:textId="153AFA6B" w:rsidR="005C4199" w:rsidRPr="00962913" w:rsidRDefault="00252C8E" w:rsidP="00962913">
      <w:pPr>
        <w:jc w:val="both"/>
        <w:rPr>
          <w:lang w:val="en-GB"/>
        </w:rPr>
      </w:pPr>
      <w:r>
        <w:rPr>
          <w:lang w:val="en-AU"/>
        </w:rPr>
        <w:t xml:space="preserve">In February 2020, the UN High Commissioner for Human Rights expressed concern at </w:t>
      </w:r>
      <w:r w:rsidRPr="00962913">
        <w:rPr>
          <w:rStyle w:val="lblnewsfulltext"/>
          <w:lang w:val="en-US"/>
        </w:rPr>
        <w:t xml:space="preserve">legislation which passed into law in Poland </w:t>
      </w:r>
      <w:r>
        <w:rPr>
          <w:rStyle w:val="lblnewsfulltext"/>
          <w:lang w:val="en-US"/>
        </w:rPr>
        <w:t xml:space="preserve">that month </w:t>
      </w:r>
      <w:r w:rsidR="00600F16">
        <w:rPr>
          <w:rStyle w:val="lblnewsfulltext"/>
          <w:lang w:val="en-US"/>
        </w:rPr>
        <w:t xml:space="preserve">that </w:t>
      </w:r>
      <w:r w:rsidRPr="00962913">
        <w:rPr>
          <w:rStyle w:val="lblnewsfulltext"/>
          <w:lang w:val="en-US"/>
        </w:rPr>
        <w:t>risk</w:t>
      </w:r>
      <w:r w:rsidR="00600F16">
        <w:rPr>
          <w:rStyle w:val="lblnewsfulltext"/>
          <w:lang w:val="en-US"/>
        </w:rPr>
        <w:t>ed</w:t>
      </w:r>
      <w:r w:rsidRPr="00962913">
        <w:rPr>
          <w:rStyle w:val="lblnewsfulltext"/>
          <w:lang w:val="en-US"/>
        </w:rPr>
        <w:t xml:space="preserve"> further jeopardizing the independence of the judiciary in </w:t>
      </w:r>
      <w:r w:rsidR="00DC2228">
        <w:rPr>
          <w:rStyle w:val="lblnewsfulltext"/>
          <w:lang w:val="en-US"/>
        </w:rPr>
        <w:t>the country</w:t>
      </w:r>
      <w:r w:rsidRPr="00962913">
        <w:rPr>
          <w:rStyle w:val="lblnewsfulltext"/>
          <w:lang w:val="en-US"/>
        </w:rPr>
        <w:t xml:space="preserve">, restricting the rights of judges and the impartiality of courts of law. Under </w:t>
      </w:r>
      <w:r w:rsidR="00DC2228">
        <w:rPr>
          <w:rStyle w:val="lblnewsfulltext"/>
          <w:lang w:val="en-US"/>
        </w:rPr>
        <w:t>the</w:t>
      </w:r>
      <w:r w:rsidRPr="00962913">
        <w:rPr>
          <w:rStyle w:val="lblnewsfulltext"/>
          <w:lang w:val="en-US"/>
        </w:rPr>
        <w:t xml:space="preserve"> new legislation, </w:t>
      </w:r>
      <w:r w:rsidR="00DC2228">
        <w:rPr>
          <w:rStyle w:val="lblnewsfulltext"/>
          <w:lang w:val="en-US"/>
        </w:rPr>
        <w:t xml:space="preserve">she noted, </w:t>
      </w:r>
      <w:r w:rsidRPr="00962913">
        <w:rPr>
          <w:rStyle w:val="lblnewsfulltext"/>
          <w:lang w:val="en-US"/>
        </w:rPr>
        <w:t>judges who question</w:t>
      </w:r>
      <w:r w:rsidR="00DC2228">
        <w:rPr>
          <w:rStyle w:val="lblnewsfulltext"/>
          <w:lang w:val="en-US"/>
        </w:rPr>
        <w:t>ed</w:t>
      </w:r>
      <w:r w:rsidRPr="00962913">
        <w:rPr>
          <w:rStyle w:val="lblnewsfulltext"/>
          <w:lang w:val="en-US"/>
        </w:rPr>
        <w:t xml:space="preserve"> the Government’s planned judicial reforms could be fined or even dismissed.</w:t>
      </w:r>
      <w:r w:rsidR="00DC2228">
        <w:rPr>
          <w:rStyle w:val="lblnewsfulltext"/>
          <w:lang w:val="en-US"/>
        </w:rPr>
        <w:t xml:space="preserve"> </w:t>
      </w:r>
      <w:r w:rsidR="00600F16">
        <w:rPr>
          <w:rStyle w:val="lblnewsfulltext"/>
          <w:lang w:val="en-US"/>
        </w:rPr>
        <w:t xml:space="preserve"> </w:t>
      </w:r>
      <w:r w:rsidR="00DC2228">
        <w:rPr>
          <w:rStyle w:val="lblnewsfulltext"/>
          <w:lang w:val="en-US"/>
        </w:rPr>
        <w:t>(</w:t>
      </w:r>
      <w:hyperlink r:id="rId11" w:history="1">
        <w:r w:rsidR="00DC2228" w:rsidRPr="00D02D04">
          <w:rPr>
            <w:rStyle w:val="Hyperlink"/>
            <w:lang w:val="en-US"/>
          </w:rPr>
          <w:t>https://www.ohchr.org/EN/NewsEvents/Pages/DisplayNews.aspx?NewsID=25523&amp;LangID=E</w:t>
        </w:r>
      </w:hyperlink>
      <w:r w:rsidR="00DC2228">
        <w:rPr>
          <w:rStyle w:val="lblnewsfulltext"/>
          <w:lang w:val="en-US"/>
        </w:rPr>
        <w:t xml:space="preserve">) </w:t>
      </w:r>
    </w:p>
    <w:p w14:paraId="59D76928" w14:textId="77777777" w:rsidR="001B7CA2" w:rsidRPr="001B7CA2" w:rsidRDefault="001B7CA2" w:rsidP="001B7CA2">
      <w:pPr>
        <w:rPr>
          <w:lang w:val="en-GB"/>
        </w:rPr>
      </w:pPr>
      <w:r w:rsidRPr="001B7CA2">
        <w:rPr>
          <w:i/>
          <w:iCs/>
          <w:lang w:val="en-GB"/>
        </w:rPr>
        <w:t xml:space="preserve">7. Remuneration/bonuses for judges and prosecutors </w:t>
      </w:r>
    </w:p>
    <w:p w14:paraId="37EA107A" w14:textId="77777777" w:rsidR="001B7CA2" w:rsidRPr="001B7CA2" w:rsidRDefault="001B7CA2" w:rsidP="001B7CA2">
      <w:pPr>
        <w:rPr>
          <w:lang w:val="en-GB"/>
        </w:rPr>
      </w:pPr>
      <w:r w:rsidRPr="001B7CA2">
        <w:rPr>
          <w:i/>
          <w:iCs/>
          <w:lang w:val="en-GB"/>
        </w:rPr>
        <w:t xml:space="preserve">8. Independence/autonomy of the prosecution service </w:t>
      </w:r>
    </w:p>
    <w:p w14:paraId="2986F635" w14:textId="77777777" w:rsidR="001B7CA2" w:rsidRPr="001B7CA2" w:rsidRDefault="001B7CA2" w:rsidP="001B7CA2">
      <w:pPr>
        <w:rPr>
          <w:lang w:val="en-GB"/>
        </w:rPr>
      </w:pPr>
      <w:r w:rsidRPr="001B7CA2">
        <w:rPr>
          <w:i/>
          <w:iCs/>
          <w:lang w:val="en-GB"/>
        </w:rPr>
        <w:t xml:space="preserve">9. Independence of the Bar (chamber/association of lawyers) and of lawyers </w:t>
      </w:r>
    </w:p>
    <w:p w14:paraId="39A01995" w14:textId="4227E1FB" w:rsidR="001B7CA2" w:rsidRDefault="001B7CA2" w:rsidP="001B7CA2">
      <w:pPr>
        <w:rPr>
          <w:i/>
          <w:iCs/>
          <w:lang w:val="en-GB"/>
        </w:rPr>
      </w:pPr>
      <w:r w:rsidRPr="001B7CA2">
        <w:rPr>
          <w:i/>
          <w:iCs/>
          <w:lang w:val="en-GB"/>
        </w:rPr>
        <w:lastRenderedPageBreak/>
        <w:t xml:space="preserve">10. Significant developments capable of affecting the perception that the general public has of the independence of the judiciary </w:t>
      </w:r>
    </w:p>
    <w:p w14:paraId="5E28343D" w14:textId="581AD665" w:rsidR="00DC2228" w:rsidRPr="00962913" w:rsidRDefault="00DC2228" w:rsidP="00962913">
      <w:pPr>
        <w:pStyle w:val="CommentText"/>
        <w:spacing w:before="240"/>
        <w:jc w:val="both"/>
        <w:rPr>
          <w:rFonts w:cstheme="minorHAnsi"/>
          <w:sz w:val="22"/>
          <w:szCs w:val="22"/>
          <w:lang w:val="en-GB"/>
        </w:rPr>
      </w:pPr>
      <w:r w:rsidRPr="00962913">
        <w:rPr>
          <w:rFonts w:cstheme="minorHAnsi"/>
          <w:sz w:val="22"/>
          <w:szCs w:val="22"/>
          <w:lang w:val="en-US"/>
        </w:rPr>
        <w:t>In her global update to the Human Rights Council in February 2020, the UN High Commissioner</w:t>
      </w:r>
      <w:r w:rsidRPr="00962913">
        <w:rPr>
          <w:rStyle w:val="Strong"/>
          <w:rFonts w:cstheme="minorHAnsi"/>
          <w:sz w:val="22"/>
          <w:szCs w:val="22"/>
          <w:lang w:val="en-GB"/>
        </w:rPr>
        <w:t xml:space="preserve"> </w:t>
      </w:r>
      <w:r w:rsidR="00445679" w:rsidRPr="00962913">
        <w:rPr>
          <w:rStyle w:val="Strong"/>
          <w:rFonts w:cstheme="minorHAnsi"/>
          <w:b w:val="0"/>
          <w:sz w:val="22"/>
          <w:szCs w:val="22"/>
          <w:lang w:val="en-GB"/>
        </w:rPr>
        <w:t xml:space="preserve">for Human Rights </w:t>
      </w:r>
      <w:r w:rsidRPr="00962913">
        <w:rPr>
          <w:rStyle w:val="Strong"/>
          <w:rFonts w:cstheme="minorHAnsi"/>
          <w:b w:val="0"/>
          <w:sz w:val="22"/>
          <w:szCs w:val="22"/>
          <w:lang w:val="en-GB"/>
        </w:rPr>
        <w:t xml:space="preserve">expressed concern about </w:t>
      </w:r>
      <w:r w:rsidRPr="00962913">
        <w:rPr>
          <w:rFonts w:cstheme="minorHAnsi"/>
          <w:sz w:val="22"/>
          <w:szCs w:val="22"/>
          <w:lang w:val="en-GB"/>
        </w:rPr>
        <w:t>adopted legislation curtailing the independence of judges and lawyers; enabling the dismissal of judges; and levying severe penalties against prosecutors, lawyers and judges critical of the Government</w:t>
      </w:r>
      <w:r w:rsidRPr="00962913">
        <w:rPr>
          <w:rFonts w:cstheme="minorHAnsi" w:hint="eastAsia"/>
          <w:sz w:val="22"/>
          <w:szCs w:val="22"/>
          <w:lang w:val="en-GB"/>
        </w:rPr>
        <w:t>’</w:t>
      </w:r>
      <w:r w:rsidRPr="00962913">
        <w:rPr>
          <w:rFonts w:cstheme="minorHAnsi"/>
          <w:sz w:val="22"/>
          <w:szCs w:val="22"/>
          <w:lang w:val="en-GB"/>
        </w:rPr>
        <w:t>s judicial changes. There had been sharp increases in disciplinary proceedings against judges, and numerous lawsuits against journalists and media outlets not affiliated to the government.</w:t>
      </w:r>
      <w:r>
        <w:rPr>
          <w:rFonts w:cstheme="minorHAnsi"/>
          <w:sz w:val="22"/>
          <w:szCs w:val="22"/>
          <w:lang w:val="en-GB"/>
        </w:rPr>
        <w:t xml:space="preserve"> In his global update to the Human Rights Council in March 2018, the UN High Commissioner had </w:t>
      </w:r>
      <w:r w:rsidR="00445679">
        <w:rPr>
          <w:rFonts w:cstheme="minorHAnsi"/>
          <w:sz w:val="22"/>
          <w:szCs w:val="22"/>
          <w:lang w:val="en-GB"/>
        </w:rPr>
        <w:t>also</w:t>
      </w:r>
      <w:r>
        <w:rPr>
          <w:rFonts w:cstheme="minorHAnsi"/>
          <w:sz w:val="22"/>
          <w:szCs w:val="22"/>
          <w:lang w:val="en-GB"/>
        </w:rPr>
        <w:t xml:space="preserve"> expressed concern about reforms </w:t>
      </w:r>
      <w:r>
        <w:rPr>
          <w:rFonts w:cstheme="minorHAnsi"/>
          <w:color w:val="000000"/>
          <w:sz w:val="22"/>
          <w:szCs w:val="22"/>
          <w:shd w:val="clear" w:color="auto" w:fill="FFFFFF"/>
          <w:lang w:val="en-GB"/>
        </w:rPr>
        <w:t xml:space="preserve">in previous years </w:t>
      </w:r>
      <w:r w:rsidRPr="00A118BB">
        <w:rPr>
          <w:rFonts w:cstheme="minorHAnsi"/>
          <w:color w:val="000000"/>
          <w:sz w:val="22"/>
          <w:szCs w:val="22"/>
          <w:shd w:val="clear" w:color="auto" w:fill="FFFFFF"/>
          <w:lang w:val="en-GB"/>
        </w:rPr>
        <w:t>targeting the Constit</w:t>
      </w:r>
      <w:r w:rsidR="00445679">
        <w:rPr>
          <w:rFonts w:cstheme="minorHAnsi"/>
          <w:color w:val="000000"/>
          <w:sz w:val="22"/>
          <w:szCs w:val="22"/>
          <w:shd w:val="clear" w:color="auto" w:fill="FFFFFF"/>
          <w:lang w:val="en-GB"/>
        </w:rPr>
        <w:t xml:space="preserve">utional Court and the judiciary, </w:t>
      </w:r>
      <w:r w:rsidRPr="00A118BB">
        <w:rPr>
          <w:rFonts w:cstheme="minorHAnsi"/>
          <w:color w:val="000000"/>
          <w:sz w:val="22"/>
          <w:szCs w:val="22"/>
          <w:shd w:val="clear" w:color="auto" w:fill="FFFFFF"/>
          <w:lang w:val="en-GB"/>
        </w:rPr>
        <w:t>severely weaken</w:t>
      </w:r>
      <w:r>
        <w:rPr>
          <w:rFonts w:cstheme="minorHAnsi"/>
          <w:color w:val="000000"/>
          <w:sz w:val="22"/>
          <w:szCs w:val="22"/>
          <w:shd w:val="clear" w:color="auto" w:fill="FFFFFF"/>
          <w:lang w:val="en-GB"/>
        </w:rPr>
        <w:t>ing</w:t>
      </w:r>
      <w:r w:rsidRPr="00A118BB">
        <w:rPr>
          <w:rFonts w:cstheme="minorHAnsi"/>
          <w:color w:val="000000"/>
          <w:sz w:val="22"/>
          <w:szCs w:val="22"/>
          <w:shd w:val="clear" w:color="auto" w:fill="FFFFFF"/>
          <w:lang w:val="en-GB"/>
        </w:rPr>
        <w:t xml:space="preserve"> checks and balances</w:t>
      </w:r>
      <w:r>
        <w:rPr>
          <w:rFonts w:cstheme="minorHAnsi"/>
          <w:color w:val="000000"/>
          <w:sz w:val="22"/>
          <w:szCs w:val="22"/>
          <w:shd w:val="clear" w:color="auto" w:fill="FFFFFF"/>
          <w:lang w:val="en-GB"/>
        </w:rPr>
        <w:t>,</w:t>
      </w:r>
      <w:r w:rsidRPr="00A118BB">
        <w:rPr>
          <w:rFonts w:cstheme="minorHAnsi"/>
          <w:color w:val="000000"/>
          <w:sz w:val="22"/>
          <w:szCs w:val="22"/>
          <w:shd w:val="clear" w:color="auto" w:fill="FFFFFF"/>
          <w:lang w:val="en-GB"/>
        </w:rPr>
        <w:t xml:space="preserve"> politicis</w:t>
      </w:r>
      <w:r>
        <w:rPr>
          <w:rFonts w:cstheme="minorHAnsi"/>
          <w:color w:val="000000"/>
          <w:sz w:val="22"/>
          <w:szCs w:val="22"/>
          <w:shd w:val="clear" w:color="auto" w:fill="FFFFFF"/>
          <w:lang w:val="en-GB"/>
        </w:rPr>
        <w:t>ing</w:t>
      </w:r>
      <w:r w:rsidRPr="00A118BB">
        <w:rPr>
          <w:rFonts w:cstheme="minorHAnsi"/>
          <w:color w:val="000000"/>
          <w:sz w:val="22"/>
          <w:szCs w:val="22"/>
          <w:shd w:val="clear" w:color="auto" w:fill="FFFFFF"/>
          <w:lang w:val="en-GB"/>
        </w:rPr>
        <w:t xml:space="preserve"> the Office of t</w:t>
      </w:r>
      <w:r>
        <w:rPr>
          <w:rFonts w:cstheme="minorHAnsi"/>
          <w:color w:val="000000"/>
          <w:sz w:val="22"/>
          <w:szCs w:val="22"/>
          <w:shd w:val="clear" w:color="auto" w:fill="FFFFFF"/>
          <w:lang w:val="en-GB"/>
        </w:rPr>
        <w:t>he Prosecutor General, increasing</w:t>
      </w:r>
      <w:r w:rsidRPr="00A118BB">
        <w:rPr>
          <w:rFonts w:cstheme="minorHAnsi"/>
          <w:color w:val="000000"/>
          <w:sz w:val="22"/>
          <w:szCs w:val="22"/>
          <w:shd w:val="clear" w:color="auto" w:fill="FFFFFF"/>
          <w:lang w:val="en-GB"/>
        </w:rPr>
        <w:t xml:space="preserve"> the powers of the se</w:t>
      </w:r>
      <w:r>
        <w:rPr>
          <w:rFonts w:cstheme="minorHAnsi"/>
          <w:color w:val="000000"/>
          <w:sz w:val="22"/>
          <w:szCs w:val="22"/>
          <w:shd w:val="clear" w:color="auto" w:fill="FFFFFF"/>
          <w:lang w:val="en-GB"/>
        </w:rPr>
        <w:t>cret services, and leading</w:t>
      </w:r>
      <w:r w:rsidRPr="00A118BB">
        <w:rPr>
          <w:rFonts w:cstheme="minorHAnsi"/>
          <w:color w:val="000000"/>
          <w:sz w:val="22"/>
          <w:szCs w:val="22"/>
          <w:shd w:val="clear" w:color="auto" w:fill="FFFFFF"/>
          <w:lang w:val="en-GB"/>
        </w:rPr>
        <w:t xml:space="preserve"> to a significant strengthening of </w:t>
      </w:r>
      <w:r w:rsidR="00445679" w:rsidRPr="00A118BB">
        <w:rPr>
          <w:rFonts w:cstheme="minorHAnsi"/>
          <w:color w:val="000000"/>
          <w:sz w:val="22"/>
          <w:szCs w:val="22"/>
          <w:shd w:val="clear" w:color="auto" w:fill="FFFFFF"/>
          <w:lang w:val="en-GB"/>
        </w:rPr>
        <w:t xml:space="preserve">executive </w:t>
      </w:r>
      <w:r w:rsidRPr="00A118BB">
        <w:rPr>
          <w:rFonts w:cstheme="minorHAnsi"/>
          <w:color w:val="000000"/>
          <w:sz w:val="22"/>
          <w:szCs w:val="22"/>
          <w:shd w:val="clear" w:color="auto" w:fill="FFFFFF"/>
          <w:lang w:val="en-GB"/>
        </w:rPr>
        <w:t xml:space="preserve">control over the judiciary, the media, civil society, and other spheres of public life. </w:t>
      </w:r>
      <w:r>
        <w:rPr>
          <w:rFonts w:cstheme="minorHAnsi"/>
          <w:color w:val="000000"/>
          <w:sz w:val="22"/>
          <w:szCs w:val="22"/>
          <w:shd w:val="clear" w:color="auto" w:fill="FFFFFF"/>
          <w:lang w:val="en-GB"/>
        </w:rPr>
        <w:t>The High Commissioner had</w:t>
      </w:r>
      <w:r w:rsidRPr="00A118BB">
        <w:rPr>
          <w:rFonts w:cstheme="minorHAnsi"/>
          <w:color w:val="000000"/>
          <w:sz w:val="22"/>
          <w:szCs w:val="22"/>
          <w:shd w:val="clear" w:color="auto" w:fill="FFFFFF"/>
          <w:lang w:val="en-GB"/>
        </w:rPr>
        <w:t xml:space="preserve"> call</w:t>
      </w:r>
      <w:r>
        <w:rPr>
          <w:rFonts w:cstheme="minorHAnsi"/>
          <w:color w:val="000000"/>
          <w:sz w:val="22"/>
          <w:szCs w:val="22"/>
          <w:shd w:val="clear" w:color="auto" w:fill="FFFFFF"/>
          <w:lang w:val="en-GB"/>
        </w:rPr>
        <w:t>ed</w:t>
      </w:r>
      <w:r w:rsidRPr="00A118BB">
        <w:rPr>
          <w:rFonts w:cstheme="minorHAnsi"/>
          <w:color w:val="000000"/>
          <w:sz w:val="22"/>
          <w:szCs w:val="22"/>
          <w:shd w:val="clear" w:color="auto" w:fill="FFFFFF"/>
          <w:lang w:val="en-GB"/>
        </w:rPr>
        <w:t xml:space="preserve"> on the Government to reverse or amend these measures, and to implement the recommendations of </w:t>
      </w:r>
      <w:r>
        <w:rPr>
          <w:rFonts w:cstheme="minorHAnsi"/>
          <w:color w:val="000000"/>
          <w:sz w:val="22"/>
          <w:szCs w:val="22"/>
          <w:shd w:val="clear" w:color="auto" w:fill="FFFFFF"/>
          <w:lang w:val="en-GB"/>
        </w:rPr>
        <w:t>UN</w:t>
      </w:r>
      <w:r w:rsidRPr="00A118BB">
        <w:rPr>
          <w:rFonts w:cstheme="minorHAnsi"/>
          <w:color w:val="000000"/>
          <w:sz w:val="22"/>
          <w:szCs w:val="22"/>
          <w:shd w:val="clear" w:color="auto" w:fill="FFFFFF"/>
          <w:lang w:val="en-GB"/>
        </w:rPr>
        <w:t xml:space="preserve"> Special Rapporteur on the independence of judges and lawyers. </w:t>
      </w:r>
      <w:r w:rsidR="001868E0">
        <w:rPr>
          <w:rFonts w:cstheme="minorHAnsi"/>
          <w:color w:val="000000"/>
          <w:sz w:val="22"/>
          <w:szCs w:val="22"/>
          <w:shd w:val="clear" w:color="auto" w:fill="FFFFFF"/>
          <w:lang w:val="en-GB"/>
        </w:rPr>
        <w:t>(</w:t>
      </w:r>
      <w:hyperlink r:id="rId12" w:history="1">
        <w:r w:rsidR="001868E0" w:rsidRPr="00D02D04">
          <w:rPr>
            <w:rStyle w:val="Hyperlink"/>
            <w:rFonts w:cstheme="minorHAnsi"/>
            <w:sz w:val="22"/>
            <w:szCs w:val="22"/>
            <w:shd w:val="clear" w:color="auto" w:fill="FFFFFF"/>
            <w:lang w:val="en-GB"/>
          </w:rPr>
          <w:t>https://www.ohchr.org/EN/NewsEvents/Pages/DisplayNews.aspx?NewsID=25621&amp;LangID=E</w:t>
        </w:r>
      </w:hyperlink>
      <w:r w:rsidR="001868E0">
        <w:rPr>
          <w:rFonts w:cstheme="minorHAnsi"/>
          <w:color w:val="000000"/>
          <w:sz w:val="22"/>
          <w:szCs w:val="22"/>
          <w:shd w:val="clear" w:color="auto" w:fill="FFFFFF"/>
          <w:lang w:val="en-GB"/>
        </w:rPr>
        <w:t xml:space="preserve"> and </w:t>
      </w:r>
      <w:hyperlink r:id="rId13" w:history="1">
        <w:r w:rsidR="001868E0" w:rsidRPr="00D02D04">
          <w:rPr>
            <w:rStyle w:val="Hyperlink"/>
            <w:rFonts w:cstheme="minorHAnsi"/>
            <w:sz w:val="22"/>
            <w:szCs w:val="22"/>
            <w:shd w:val="clear" w:color="auto" w:fill="FFFFFF"/>
            <w:lang w:val="en-GB"/>
          </w:rPr>
          <w:t>https://www.ohchr.org/EN/NewsEvents/Pages/DisplayNews.aspx?NewsID=22772&amp;LangID=E</w:t>
        </w:r>
      </w:hyperlink>
      <w:r w:rsidR="001868E0">
        <w:rPr>
          <w:rFonts w:cstheme="minorHAnsi"/>
          <w:color w:val="000000"/>
          <w:sz w:val="22"/>
          <w:szCs w:val="22"/>
          <w:shd w:val="clear" w:color="auto" w:fill="FFFFFF"/>
          <w:lang w:val="en-GB"/>
        </w:rPr>
        <w:t>)</w:t>
      </w:r>
    </w:p>
    <w:p w14:paraId="1F4C05DC" w14:textId="799B9CC7" w:rsidR="00B06121" w:rsidRDefault="00B06121" w:rsidP="00B06121">
      <w:pPr>
        <w:jc w:val="both"/>
        <w:rPr>
          <w:lang w:val="en-US"/>
        </w:rPr>
      </w:pPr>
      <w:r w:rsidRPr="00B0564B">
        <w:rPr>
          <w:lang w:val="en-US"/>
        </w:rPr>
        <w:t>I</w:t>
      </w:r>
      <w:r>
        <w:rPr>
          <w:lang w:val="en-US"/>
        </w:rPr>
        <w:t xml:space="preserve">n </w:t>
      </w:r>
      <w:r w:rsidRPr="00BF199A">
        <w:rPr>
          <w:iCs/>
          <w:lang w:val="en-GB"/>
        </w:rPr>
        <w:t xml:space="preserve">its </w:t>
      </w:r>
      <w:r>
        <w:rPr>
          <w:iCs/>
          <w:lang w:val="en-GB"/>
        </w:rPr>
        <w:t>2019 c</w:t>
      </w:r>
      <w:r w:rsidRPr="00BF199A">
        <w:rPr>
          <w:iCs/>
          <w:lang w:val="en-GB"/>
        </w:rPr>
        <w:t>oncluding observations</w:t>
      </w:r>
      <w:r>
        <w:rPr>
          <w:iCs/>
          <w:lang w:val="en-GB"/>
        </w:rPr>
        <w:t>, t</w:t>
      </w:r>
      <w:r w:rsidRPr="00BF199A">
        <w:rPr>
          <w:iCs/>
          <w:lang w:val="en-GB"/>
        </w:rPr>
        <w:t xml:space="preserve">he </w:t>
      </w:r>
      <w:r>
        <w:rPr>
          <w:iCs/>
          <w:lang w:val="en-GB"/>
        </w:rPr>
        <w:t xml:space="preserve">UN </w:t>
      </w:r>
      <w:r w:rsidRPr="00BF199A">
        <w:rPr>
          <w:iCs/>
          <w:lang w:val="en-GB"/>
        </w:rPr>
        <w:t xml:space="preserve">Committee against Torture </w:t>
      </w:r>
      <w:r>
        <w:rPr>
          <w:iCs/>
          <w:lang w:val="en-GB"/>
        </w:rPr>
        <w:t xml:space="preserve">expressed concern about </w:t>
      </w:r>
      <w:r w:rsidR="00445679">
        <w:rPr>
          <w:iCs/>
          <w:lang w:val="en-GB"/>
        </w:rPr>
        <w:t>Poland</w:t>
      </w:r>
      <w:r w:rsidR="0030165D">
        <w:rPr>
          <w:iCs/>
          <w:lang w:val="en-GB"/>
        </w:rPr>
        <w:t>’s</w:t>
      </w:r>
      <w:r>
        <w:rPr>
          <w:iCs/>
          <w:lang w:val="en-GB"/>
        </w:rPr>
        <w:t xml:space="preserve"> </w:t>
      </w:r>
      <w:r w:rsidR="00445679" w:rsidRPr="00B0564B">
        <w:rPr>
          <w:lang w:val="en-US"/>
        </w:rPr>
        <w:t xml:space="preserve">judicial </w:t>
      </w:r>
      <w:r>
        <w:rPr>
          <w:iCs/>
          <w:lang w:val="en-GB"/>
        </w:rPr>
        <w:t>reforms</w:t>
      </w:r>
      <w:r w:rsidRPr="00B0564B">
        <w:rPr>
          <w:lang w:val="en-US"/>
        </w:rPr>
        <w:t xml:space="preserve">, including </w:t>
      </w:r>
      <w:r w:rsidR="001868E0">
        <w:rPr>
          <w:lang w:val="en-US"/>
        </w:rPr>
        <w:t>at</w:t>
      </w:r>
      <w:r w:rsidRPr="00B0564B">
        <w:rPr>
          <w:lang w:val="en-US"/>
        </w:rPr>
        <w:t xml:space="preserve"> the Constitutional Tribunal, which hamper</w:t>
      </w:r>
      <w:r w:rsidR="001868E0">
        <w:rPr>
          <w:lang w:val="en-US"/>
        </w:rPr>
        <w:t>ed</w:t>
      </w:r>
      <w:r w:rsidRPr="00B0564B">
        <w:rPr>
          <w:lang w:val="en-US"/>
        </w:rPr>
        <w:t xml:space="preserve"> the constitutionally protected principle of judicial independence and enable</w:t>
      </w:r>
      <w:r w:rsidR="001868E0">
        <w:rPr>
          <w:lang w:val="en-US"/>
        </w:rPr>
        <w:t xml:space="preserve">d </w:t>
      </w:r>
      <w:r w:rsidRPr="00B0564B">
        <w:rPr>
          <w:lang w:val="en-US"/>
        </w:rPr>
        <w:t>legislative and executive interfere</w:t>
      </w:r>
      <w:r w:rsidR="001868E0">
        <w:rPr>
          <w:lang w:val="en-US"/>
        </w:rPr>
        <w:t>nce</w:t>
      </w:r>
      <w:r w:rsidRPr="00B0564B">
        <w:rPr>
          <w:lang w:val="en-US"/>
        </w:rPr>
        <w:t xml:space="preserve"> with the administration of justice, as noted in the report of the Special Rapporteur on the independence of judges and l</w:t>
      </w:r>
      <w:r w:rsidR="001868E0">
        <w:rPr>
          <w:lang w:val="en-US"/>
        </w:rPr>
        <w:t xml:space="preserve">awyers on his mission to Poland </w:t>
      </w:r>
      <w:r w:rsidR="001868E0" w:rsidRPr="00B0564B">
        <w:rPr>
          <w:lang w:val="en-US"/>
        </w:rPr>
        <w:t>(</w:t>
      </w:r>
      <w:hyperlink r:id="rId14" w:history="1">
        <w:r w:rsidR="001868E0" w:rsidRPr="00B0564B">
          <w:rPr>
            <w:rStyle w:val="Hyperlink"/>
            <w:lang w:val="en-US"/>
          </w:rPr>
          <w:t>A/HRC/38/38/Add.1</w:t>
        </w:r>
      </w:hyperlink>
      <w:r w:rsidR="001868E0" w:rsidRPr="00B0564B">
        <w:rPr>
          <w:lang w:val="en-US"/>
        </w:rPr>
        <w:t>)</w:t>
      </w:r>
      <w:r w:rsidR="001868E0">
        <w:rPr>
          <w:lang w:val="en-US"/>
        </w:rPr>
        <w:t xml:space="preserve">. </w:t>
      </w:r>
      <w:r>
        <w:rPr>
          <w:lang w:val="en-US"/>
        </w:rPr>
        <w:t xml:space="preserve">The Committee </w:t>
      </w:r>
      <w:r>
        <w:rPr>
          <w:iCs/>
          <w:lang w:val="en-GB"/>
        </w:rPr>
        <w:t>recommended that Poland r</w:t>
      </w:r>
      <w:r w:rsidRPr="003B4F07">
        <w:rPr>
          <w:lang w:val="en-GB"/>
        </w:rPr>
        <w:t>eview the ongoing judicial reform to ensure that it complies with international standards of independence of the judiciary, principles of rule of law a</w:t>
      </w:r>
      <w:r w:rsidR="001868E0">
        <w:rPr>
          <w:lang w:val="en-GB"/>
        </w:rPr>
        <w:t>nd separation of powers and Poland’s Constitution</w:t>
      </w:r>
      <w:r>
        <w:rPr>
          <w:lang w:val="en-GB"/>
        </w:rPr>
        <w:t xml:space="preserve"> (See </w:t>
      </w:r>
      <w:hyperlink r:id="rId15" w:history="1">
        <w:r w:rsidRPr="00165AFF">
          <w:rPr>
            <w:rStyle w:val="Hyperlink"/>
            <w:lang w:val="en-GB"/>
          </w:rPr>
          <w:t>CAT/C/POL/CO/7</w:t>
        </w:r>
      </w:hyperlink>
      <w:r w:rsidR="001868E0">
        <w:rPr>
          <w:lang w:val="en-US"/>
        </w:rPr>
        <w:t>, para 9-1</w:t>
      </w:r>
      <w:r>
        <w:rPr>
          <w:lang w:val="en-US"/>
        </w:rPr>
        <w:t>0)</w:t>
      </w:r>
      <w:r w:rsidR="001868E0">
        <w:rPr>
          <w:lang w:val="en-US"/>
        </w:rPr>
        <w:t>.</w:t>
      </w:r>
    </w:p>
    <w:p w14:paraId="33F96EE4" w14:textId="77777777" w:rsidR="00252C8E" w:rsidRDefault="00252C8E" w:rsidP="00252C8E">
      <w:pPr>
        <w:jc w:val="both"/>
        <w:rPr>
          <w:lang w:val="en-US"/>
        </w:rPr>
      </w:pPr>
      <w:r>
        <w:rPr>
          <w:bCs/>
          <w:lang w:val="en-GB"/>
        </w:rPr>
        <w:t>In its 2019 c</w:t>
      </w:r>
      <w:r w:rsidRPr="00CC6B37">
        <w:rPr>
          <w:bCs/>
          <w:lang w:val="en-GB"/>
        </w:rPr>
        <w:t>oncluding observations</w:t>
      </w:r>
      <w:r>
        <w:rPr>
          <w:bCs/>
          <w:lang w:val="en-GB"/>
        </w:rPr>
        <w:t>, t</w:t>
      </w:r>
      <w:r w:rsidRPr="00CC6B37">
        <w:rPr>
          <w:bCs/>
          <w:lang w:val="en-GB"/>
        </w:rPr>
        <w:t xml:space="preserve">he UN Committee on the </w:t>
      </w:r>
      <w:r>
        <w:rPr>
          <w:bCs/>
          <w:lang w:val="en-GB"/>
        </w:rPr>
        <w:t xml:space="preserve">Elimination of </w:t>
      </w:r>
      <w:r w:rsidRPr="00CC6B37">
        <w:rPr>
          <w:bCs/>
          <w:lang w:val="en-GB"/>
        </w:rPr>
        <w:t>R</w:t>
      </w:r>
      <w:r>
        <w:rPr>
          <w:bCs/>
          <w:lang w:val="en-GB"/>
        </w:rPr>
        <w:t>acial Discrimination expressed concern about t</w:t>
      </w:r>
      <w:r w:rsidRPr="000E4D1E">
        <w:rPr>
          <w:bCs/>
          <w:lang w:val="en-GB"/>
        </w:rPr>
        <w:t>he changes to the institutional framework made since 2015, which may jeopardize the independence of the judiciary and National Public Prosecutor, raising concerns about the integrity of the legal enforcement of equality guarantees</w:t>
      </w:r>
      <w:r>
        <w:rPr>
          <w:bCs/>
          <w:lang w:val="en-GB"/>
        </w:rPr>
        <w:t>. The Committee recommended to t</w:t>
      </w:r>
      <w:r w:rsidRPr="000E4D1E">
        <w:rPr>
          <w:bCs/>
          <w:lang w:val="en-GB"/>
        </w:rPr>
        <w:t xml:space="preserve">ake effective steps to guarantee the independence of the judiciary and the National Public Prosecutor from political interference. </w:t>
      </w:r>
      <w:r>
        <w:rPr>
          <w:lang w:val="en-US"/>
        </w:rPr>
        <w:t xml:space="preserve">(See </w:t>
      </w:r>
      <w:hyperlink r:id="rId16" w:history="1">
        <w:r w:rsidRPr="00572CAC">
          <w:rPr>
            <w:rStyle w:val="Hyperlink"/>
            <w:lang w:val="en-US"/>
          </w:rPr>
          <w:t>CERD/C/POL/CO/22-24</w:t>
        </w:r>
      </w:hyperlink>
      <w:r>
        <w:rPr>
          <w:lang w:val="en-US"/>
        </w:rPr>
        <w:t>, para 11-12)</w:t>
      </w:r>
      <w:r w:rsidRPr="00E70E81">
        <w:rPr>
          <w:lang w:val="en-US"/>
        </w:rPr>
        <w:t>.</w:t>
      </w:r>
    </w:p>
    <w:p w14:paraId="4E024A29" w14:textId="0B1D5DD1" w:rsidR="001B7CA2" w:rsidRPr="001B7CA2" w:rsidRDefault="001B7CA2" w:rsidP="001B7CA2">
      <w:pPr>
        <w:rPr>
          <w:lang w:val="en-GB"/>
        </w:rPr>
      </w:pPr>
      <w:r w:rsidRPr="001B7CA2">
        <w:rPr>
          <w:b/>
          <w:bCs/>
          <w:i/>
          <w:iCs/>
          <w:lang w:val="en-GB"/>
        </w:rPr>
        <w:t xml:space="preserve">B. Quality of justice </w:t>
      </w:r>
    </w:p>
    <w:p w14:paraId="48E3E95A" w14:textId="3E9472E5" w:rsidR="001B7CA2" w:rsidRDefault="001B7CA2" w:rsidP="001B7CA2">
      <w:pPr>
        <w:rPr>
          <w:i/>
          <w:iCs/>
          <w:lang w:val="en-GB"/>
        </w:rPr>
      </w:pPr>
      <w:r w:rsidRPr="001B7CA2">
        <w:rPr>
          <w:i/>
          <w:iCs/>
          <w:lang w:val="en-GB"/>
        </w:rPr>
        <w:t xml:space="preserve">11. Accessibility of courts (e.g. court fees, legal aid, language) </w:t>
      </w:r>
    </w:p>
    <w:p w14:paraId="091E4CDB" w14:textId="56652AD1" w:rsidR="004E2A0C" w:rsidRPr="004E2A0C" w:rsidRDefault="004E2A0C" w:rsidP="004E2A0C">
      <w:pPr>
        <w:jc w:val="both"/>
        <w:rPr>
          <w:bCs/>
          <w:lang w:val="en-US"/>
        </w:rPr>
      </w:pPr>
      <w:r w:rsidRPr="004E2A0C">
        <w:rPr>
          <w:lang w:val="en-GB"/>
        </w:rPr>
        <w:t xml:space="preserve">In </w:t>
      </w:r>
      <w:r>
        <w:rPr>
          <w:lang w:val="en-GB"/>
        </w:rPr>
        <w:t>the</w:t>
      </w:r>
      <w:r w:rsidRPr="004E2A0C">
        <w:rPr>
          <w:lang w:val="en-GB"/>
        </w:rPr>
        <w:t xml:space="preserve"> 2020 report following its visit to Poland, the UN Subcommittee on Prevention of Torture and Other Cruel, Inhuman or Degrading Treatment or Punishment (SPT) was concerned that </w:t>
      </w:r>
      <w:r w:rsidRPr="004E2A0C">
        <w:rPr>
          <w:lang w:val="en-US"/>
        </w:rPr>
        <w:t xml:space="preserve">many detainees its delegation spoke to had not had the chance to consult a lawyer, especially in the first stage of proceedings. The Subcommittee was further concerned at the lack of an appropriate system of legal aid in Poland for those who could not afford a private lawyer. It recommended </w:t>
      </w:r>
      <w:r w:rsidRPr="004E2A0C">
        <w:rPr>
          <w:bCs/>
          <w:lang w:val="en-US"/>
        </w:rPr>
        <w:t xml:space="preserve">that Poland take effective measures to guarantee that all persons deprived of their liberty are afforded, in law and in practice, from the time they are arrested, the right to have prompt access to an independent lawyer and, if necessary, to legal aid in accordance with international standards. </w:t>
      </w:r>
      <w:r>
        <w:rPr>
          <w:bCs/>
          <w:lang w:val="en-US"/>
        </w:rPr>
        <w:t>(</w:t>
      </w:r>
      <w:hyperlink r:id="rId17" w:history="1">
        <w:r w:rsidRPr="00334386">
          <w:rPr>
            <w:rStyle w:val="Hyperlink"/>
            <w:lang w:val="en-US"/>
          </w:rPr>
          <w:t>CAT/OP/POL/RONPM/1</w:t>
        </w:r>
      </w:hyperlink>
      <w:r>
        <w:rPr>
          <w:lang w:val="en-US"/>
        </w:rPr>
        <w:t>,</w:t>
      </w:r>
      <w:r w:rsidRPr="00334386">
        <w:rPr>
          <w:lang w:val="en-US"/>
        </w:rPr>
        <w:t xml:space="preserve"> para </w:t>
      </w:r>
      <w:r>
        <w:rPr>
          <w:lang w:val="en-US"/>
        </w:rPr>
        <w:t>51, 52)</w:t>
      </w:r>
    </w:p>
    <w:p w14:paraId="2529621A" w14:textId="0862C14D" w:rsidR="002969C5" w:rsidRDefault="002969C5" w:rsidP="00962913">
      <w:pPr>
        <w:jc w:val="both"/>
        <w:rPr>
          <w:iCs/>
          <w:lang w:val="en-GB"/>
        </w:rPr>
      </w:pPr>
      <w:r>
        <w:rPr>
          <w:iCs/>
          <w:lang w:val="en-GB"/>
        </w:rPr>
        <w:t xml:space="preserve">In </w:t>
      </w:r>
      <w:r w:rsidR="00445679">
        <w:rPr>
          <w:iCs/>
          <w:lang w:val="en-GB"/>
        </w:rPr>
        <w:t xml:space="preserve">the </w:t>
      </w:r>
      <w:r w:rsidR="002668EA">
        <w:rPr>
          <w:iCs/>
          <w:lang w:val="en-GB"/>
        </w:rPr>
        <w:t xml:space="preserve">2019 </w:t>
      </w:r>
      <w:r>
        <w:rPr>
          <w:iCs/>
          <w:lang w:val="en-GB"/>
        </w:rPr>
        <w:t>r</w:t>
      </w:r>
      <w:r w:rsidRPr="00D027D9">
        <w:rPr>
          <w:iCs/>
          <w:lang w:val="en-GB"/>
        </w:rPr>
        <w:t>eport</w:t>
      </w:r>
      <w:r>
        <w:rPr>
          <w:iCs/>
          <w:lang w:val="en-GB"/>
        </w:rPr>
        <w:t xml:space="preserve"> following </w:t>
      </w:r>
      <w:r w:rsidR="00445679">
        <w:rPr>
          <w:iCs/>
          <w:lang w:val="en-GB"/>
        </w:rPr>
        <w:t xml:space="preserve">its </w:t>
      </w:r>
      <w:r>
        <w:rPr>
          <w:iCs/>
          <w:lang w:val="en-GB"/>
        </w:rPr>
        <w:t xml:space="preserve">visit to Poland, </w:t>
      </w:r>
      <w:r w:rsidRPr="00D027D9">
        <w:rPr>
          <w:iCs/>
          <w:lang w:val="en-GB"/>
        </w:rPr>
        <w:t>the Working Group on the issue of discrimination against</w:t>
      </w:r>
      <w:r>
        <w:rPr>
          <w:iCs/>
          <w:lang w:val="en-GB"/>
        </w:rPr>
        <w:t xml:space="preserve"> </w:t>
      </w:r>
      <w:r w:rsidRPr="00D027D9">
        <w:rPr>
          <w:iCs/>
          <w:lang w:val="en-GB"/>
        </w:rPr>
        <w:t>women in law and in practice</w:t>
      </w:r>
      <w:r>
        <w:rPr>
          <w:iCs/>
          <w:lang w:val="en-GB"/>
        </w:rPr>
        <w:t xml:space="preserve"> </w:t>
      </w:r>
      <w:r w:rsidR="00B06121">
        <w:rPr>
          <w:iCs/>
          <w:lang w:val="en-GB"/>
        </w:rPr>
        <w:t xml:space="preserve">noted </w:t>
      </w:r>
      <w:r w:rsidR="000E3E0A">
        <w:rPr>
          <w:rFonts w:cstheme="minorHAnsi"/>
          <w:lang w:val="en-US"/>
        </w:rPr>
        <w:t>that t</w:t>
      </w:r>
      <w:r w:rsidR="00B06121" w:rsidRPr="00962913">
        <w:rPr>
          <w:rFonts w:cstheme="minorHAnsi"/>
          <w:lang w:val="en-US"/>
        </w:rPr>
        <w:t xml:space="preserve">he dismissal of cases of gender-based violence and </w:t>
      </w:r>
      <w:r w:rsidR="00B06121" w:rsidRPr="00962913">
        <w:rPr>
          <w:rFonts w:cstheme="minorHAnsi"/>
          <w:lang w:val="en-US"/>
        </w:rPr>
        <w:lastRenderedPageBreak/>
        <w:t>the often lenient punishment</w:t>
      </w:r>
      <w:r w:rsidR="000E3E0A">
        <w:rPr>
          <w:rFonts w:cstheme="minorHAnsi"/>
          <w:lang w:val="en-US"/>
        </w:rPr>
        <w:t xml:space="preserve"> </w:t>
      </w:r>
      <w:r w:rsidR="00B06121" w:rsidRPr="00962913">
        <w:rPr>
          <w:rFonts w:cstheme="minorHAnsi"/>
          <w:lang w:val="en-US"/>
        </w:rPr>
        <w:t xml:space="preserve">for perpetrators </w:t>
      </w:r>
      <w:r w:rsidR="000E3E0A">
        <w:rPr>
          <w:rFonts w:cstheme="minorHAnsi"/>
          <w:lang w:val="en-US"/>
        </w:rPr>
        <w:t>were</w:t>
      </w:r>
      <w:r w:rsidR="00B06121" w:rsidRPr="00962913">
        <w:rPr>
          <w:rFonts w:cstheme="minorHAnsi"/>
          <w:lang w:val="en-US"/>
        </w:rPr>
        <w:t xml:space="preserve"> not conducive to the pursuit of </w:t>
      </w:r>
      <w:r w:rsidR="00B06121" w:rsidRPr="00962913">
        <w:rPr>
          <w:rStyle w:val="highlight"/>
          <w:rFonts w:cstheme="minorHAnsi"/>
          <w:lang w:val="en-US"/>
        </w:rPr>
        <w:t>justice</w:t>
      </w:r>
      <w:r w:rsidR="00B06121" w:rsidRPr="00962913">
        <w:rPr>
          <w:rFonts w:cstheme="minorHAnsi"/>
          <w:lang w:val="en-US"/>
        </w:rPr>
        <w:t xml:space="preserve"> and are one of the reasons for the withdrawal of complaints by victims/survivors. </w:t>
      </w:r>
      <w:r w:rsidR="000E3E0A">
        <w:rPr>
          <w:rFonts w:cstheme="minorHAnsi"/>
          <w:lang w:val="en-US"/>
        </w:rPr>
        <w:t>B</w:t>
      </w:r>
      <w:r w:rsidR="00B06121" w:rsidRPr="00962913">
        <w:rPr>
          <w:rFonts w:cstheme="minorHAnsi"/>
          <w:lang w:val="en-US"/>
        </w:rPr>
        <w:t xml:space="preserve">uilding the trust of </w:t>
      </w:r>
      <w:r w:rsidR="000E3E0A">
        <w:rPr>
          <w:rFonts w:cstheme="minorHAnsi"/>
          <w:lang w:val="en-US"/>
        </w:rPr>
        <w:t xml:space="preserve">victims/survivors in the system was essential for the success of </w:t>
      </w:r>
      <w:r w:rsidR="00B06121" w:rsidRPr="00962913">
        <w:rPr>
          <w:rFonts w:cstheme="minorHAnsi"/>
          <w:lang w:val="en-US"/>
        </w:rPr>
        <w:t>efforts to combat gend</w:t>
      </w:r>
      <w:r w:rsidR="000E3E0A">
        <w:rPr>
          <w:rFonts w:cstheme="minorHAnsi"/>
          <w:lang w:val="en-US"/>
        </w:rPr>
        <w:t xml:space="preserve">er-based violence against women. The Working Group recommended </w:t>
      </w:r>
      <w:r>
        <w:rPr>
          <w:iCs/>
          <w:lang w:val="en-GB"/>
        </w:rPr>
        <w:t>to i</w:t>
      </w:r>
      <w:r w:rsidRPr="002969C5">
        <w:rPr>
          <w:iCs/>
          <w:lang w:val="en-GB"/>
        </w:rPr>
        <w:t>mprove services for victims/survivors of gender-based violence and</w:t>
      </w:r>
      <w:r>
        <w:rPr>
          <w:iCs/>
          <w:lang w:val="en-GB"/>
        </w:rPr>
        <w:t xml:space="preserve"> </w:t>
      </w:r>
      <w:r w:rsidRPr="002969C5">
        <w:rPr>
          <w:iCs/>
          <w:lang w:val="en-GB"/>
        </w:rPr>
        <w:t>their access to justice, in particular women in vulnerable situations</w:t>
      </w:r>
      <w:r w:rsidR="000E3E0A">
        <w:rPr>
          <w:iCs/>
          <w:lang w:val="en-GB"/>
        </w:rPr>
        <w:t>.</w:t>
      </w:r>
      <w:r>
        <w:rPr>
          <w:iCs/>
          <w:lang w:val="en-GB"/>
        </w:rPr>
        <w:t xml:space="preserve"> (See </w:t>
      </w:r>
      <w:hyperlink r:id="rId18" w:history="1">
        <w:r w:rsidRPr="00572CAC">
          <w:rPr>
            <w:rStyle w:val="Hyperlink"/>
            <w:iCs/>
            <w:lang w:val="en-GB"/>
          </w:rPr>
          <w:t>A/HRC/41/33/Add.2</w:t>
        </w:r>
      </w:hyperlink>
      <w:r w:rsidR="002668EA">
        <w:rPr>
          <w:iCs/>
          <w:lang w:val="en-GB"/>
        </w:rPr>
        <w:t>,</w:t>
      </w:r>
      <w:r>
        <w:rPr>
          <w:iCs/>
          <w:lang w:val="en-GB"/>
        </w:rPr>
        <w:t xml:space="preserve"> </w:t>
      </w:r>
      <w:r w:rsidR="002668EA">
        <w:rPr>
          <w:iCs/>
          <w:lang w:val="en-GB"/>
        </w:rPr>
        <w:t>p</w:t>
      </w:r>
      <w:r>
        <w:rPr>
          <w:iCs/>
          <w:lang w:val="en-GB"/>
        </w:rPr>
        <w:t xml:space="preserve">ara </w:t>
      </w:r>
      <w:r w:rsidR="000E3E0A">
        <w:rPr>
          <w:iCs/>
          <w:lang w:val="en-GB"/>
        </w:rPr>
        <w:t xml:space="preserve">78, </w:t>
      </w:r>
      <w:r>
        <w:rPr>
          <w:iCs/>
          <w:lang w:val="en-GB"/>
        </w:rPr>
        <w:t>87)</w:t>
      </w:r>
    </w:p>
    <w:p w14:paraId="28C5C7A6" w14:textId="7955E3FB" w:rsidR="004E5D2F" w:rsidRDefault="000E3E0A" w:rsidP="004E5D2F">
      <w:pPr>
        <w:jc w:val="both"/>
        <w:rPr>
          <w:lang w:val="en-US"/>
        </w:rPr>
      </w:pPr>
      <w:r>
        <w:rPr>
          <w:iCs/>
          <w:lang w:val="en-GB"/>
        </w:rPr>
        <w:t>In its 2018 c</w:t>
      </w:r>
      <w:r w:rsidRPr="00AB39DD">
        <w:rPr>
          <w:iCs/>
          <w:lang w:val="en-GB"/>
        </w:rPr>
        <w:t>oncluding observations</w:t>
      </w:r>
      <w:r w:rsidRPr="00962913">
        <w:rPr>
          <w:lang w:val="en-US"/>
        </w:rPr>
        <w:t xml:space="preserve">, the </w:t>
      </w:r>
      <w:r>
        <w:rPr>
          <w:lang w:val="en-US"/>
        </w:rPr>
        <w:t>UN</w:t>
      </w:r>
      <w:r w:rsidR="004E5D2F">
        <w:rPr>
          <w:iCs/>
          <w:lang w:val="en-GB"/>
        </w:rPr>
        <w:t xml:space="preserve"> </w:t>
      </w:r>
      <w:r w:rsidR="004E5D2F" w:rsidRPr="00AB39DD">
        <w:rPr>
          <w:iCs/>
          <w:lang w:val="en-GB"/>
        </w:rPr>
        <w:t>Committee on the Rights of Persons with Disabilities</w:t>
      </w:r>
      <w:r w:rsidR="004E5D2F">
        <w:rPr>
          <w:iCs/>
          <w:lang w:val="en-GB"/>
        </w:rPr>
        <w:t xml:space="preserve"> </w:t>
      </w:r>
      <w:r w:rsidR="002668EA">
        <w:rPr>
          <w:iCs/>
          <w:lang w:val="en-GB"/>
        </w:rPr>
        <w:t>was</w:t>
      </w:r>
      <w:r>
        <w:rPr>
          <w:iCs/>
          <w:lang w:val="en-GB"/>
        </w:rPr>
        <w:t xml:space="preserve"> c</w:t>
      </w:r>
      <w:r w:rsidR="004E5D2F" w:rsidRPr="004E5D2F">
        <w:rPr>
          <w:iCs/>
          <w:lang w:val="en-GB"/>
        </w:rPr>
        <w:t xml:space="preserve">oncerned that persons with psychosocial or intellectual disabilities deprived of their legal capacity </w:t>
      </w:r>
      <w:r>
        <w:rPr>
          <w:iCs/>
          <w:lang w:val="en-GB"/>
        </w:rPr>
        <w:t>were</w:t>
      </w:r>
      <w:r w:rsidRPr="004E5D2F">
        <w:rPr>
          <w:iCs/>
          <w:lang w:val="en-GB"/>
        </w:rPr>
        <w:t xml:space="preserve"> </w:t>
      </w:r>
      <w:r w:rsidR="004E5D2F" w:rsidRPr="004E5D2F">
        <w:rPr>
          <w:iCs/>
          <w:lang w:val="en-GB"/>
        </w:rPr>
        <w:t xml:space="preserve">denied the right to take part in litigation and to stand as witnesses in procedures before civil courts. It </w:t>
      </w:r>
      <w:r w:rsidR="00E943EC">
        <w:rPr>
          <w:iCs/>
          <w:lang w:val="en-GB"/>
        </w:rPr>
        <w:t xml:space="preserve">was </w:t>
      </w:r>
      <w:r w:rsidR="004E5D2F" w:rsidRPr="004E5D2F">
        <w:rPr>
          <w:iCs/>
          <w:lang w:val="en-GB"/>
        </w:rPr>
        <w:t>also concerned about the barriers that persons with disabilities in general face</w:t>
      </w:r>
      <w:r>
        <w:rPr>
          <w:iCs/>
          <w:lang w:val="en-GB"/>
        </w:rPr>
        <w:t>d</w:t>
      </w:r>
      <w:r w:rsidR="004E5D2F" w:rsidRPr="004E5D2F">
        <w:rPr>
          <w:iCs/>
          <w:lang w:val="en-GB"/>
        </w:rPr>
        <w:t xml:space="preserve"> in their acces</w:t>
      </w:r>
      <w:r w:rsidR="004E2A0C">
        <w:rPr>
          <w:iCs/>
          <w:lang w:val="en-GB"/>
        </w:rPr>
        <w:t>s to justice owing inter alia to a lack of: pr</w:t>
      </w:r>
      <w:r w:rsidR="004E5D2F" w:rsidRPr="004E5D2F">
        <w:rPr>
          <w:iCs/>
          <w:lang w:val="en-GB"/>
        </w:rPr>
        <w:t>ocedur</w:t>
      </w:r>
      <w:r w:rsidR="004E2A0C">
        <w:rPr>
          <w:iCs/>
          <w:lang w:val="en-GB"/>
        </w:rPr>
        <w:t xml:space="preserve">al accommodation and </w:t>
      </w:r>
      <w:r w:rsidR="004E5D2F" w:rsidRPr="004E5D2F">
        <w:rPr>
          <w:iCs/>
          <w:lang w:val="en-GB"/>
        </w:rPr>
        <w:t xml:space="preserve">use of </w:t>
      </w:r>
      <w:r w:rsidR="004E2A0C">
        <w:rPr>
          <w:iCs/>
          <w:lang w:val="en-GB"/>
        </w:rPr>
        <w:t xml:space="preserve">appropriate language and other </w:t>
      </w:r>
      <w:r w:rsidR="004E5D2F" w:rsidRPr="004E5D2F">
        <w:rPr>
          <w:iCs/>
          <w:lang w:val="en-GB"/>
        </w:rPr>
        <w:t>means, modes and formats of communication in legal proceedings;</w:t>
      </w:r>
      <w:r w:rsidR="004E2A0C">
        <w:rPr>
          <w:iCs/>
          <w:lang w:val="en-GB"/>
        </w:rPr>
        <w:t xml:space="preserve"> physical</w:t>
      </w:r>
      <w:r w:rsidR="004E5D2F">
        <w:rPr>
          <w:iCs/>
          <w:lang w:val="en-GB"/>
        </w:rPr>
        <w:t xml:space="preserve"> </w:t>
      </w:r>
      <w:r w:rsidR="004E5D2F" w:rsidRPr="004E5D2F">
        <w:rPr>
          <w:iCs/>
          <w:lang w:val="en-GB"/>
        </w:rPr>
        <w:t xml:space="preserve">accessibility </w:t>
      </w:r>
      <w:r w:rsidR="004E2A0C">
        <w:rPr>
          <w:iCs/>
          <w:lang w:val="en-GB"/>
        </w:rPr>
        <w:t>of justice buildings, courts and tribunals; h</w:t>
      </w:r>
      <w:r w:rsidR="004E5D2F" w:rsidRPr="004E5D2F">
        <w:rPr>
          <w:iCs/>
          <w:lang w:val="en-GB"/>
        </w:rPr>
        <w:t>uman rights-based knowledge of the justice system and law enforcement on the rights of persons with disabilities;</w:t>
      </w:r>
      <w:r w:rsidR="004E5D2F">
        <w:rPr>
          <w:iCs/>
          <w:lang w:val="en-GB"/>
        </w:rPr>
        <w:t xml:space="preserve"> </w:t>
      </w:r>
      <w:r w:rsidR="004E2A0C">
        <w:rPr>
          <w:iCs/>
          <w:lang w:val="en-GB"/>
        </w:rPr>
        <w:t>l</w:t>
      </w:r>
      <w:r w:rsidR="004E5D2F" w:rsidRPr="004E5D2F">
        <w:rPr>
          <w:iCs/>
          <w:lang w:val="en-GB"/>
        </w:rPr>
        <w:t>egal assistance for persons with disabilities, including legal assistance and procedural accommodation for persons with psychosocial disabilities.</w:t>
      </w:r>
      <w:r w:rsidR="004E5D2F">
        <w:rPr>
          <w:iCs/>
          <w:lang w:val="en-GB"/>
        </w:rPr>
        <w:t xml:space="preserve"> The Committee recommended</w:t>
      </w:r>
      <w:r w:rsidR="004E5D2F" w:rsidRPr="004E5D2F">
        <w:rPr>
          <w:iCs/>
          <w:lang w:val="en-GB"/>
        </w:rPr>
        <w:t xml:space="preserve"> that </w:t>
      </w:r>
      <w:r>
        <w:rPr>
          <w:iCs/>
          <w:lang w:val="en-GB"/>
        </w:rPr>
        <w:t>Poland</w:t>
      </w:r>
      <w:r w:rsidR="004E5D2F" w:rsidRPr="004E5D2F">
        <w:rPr>
          <w:iCs/>
          <w:lang w:val="en-GB"/>
        </w:rPr>
        <w:t xml:space="preserve"> guarantee persons with intellectual and/or psychosocial disabilities deprived of their legal capacity equal and supported access to all judicial processes. </w:t>
      </w:r>
      <w:r w:rsidR="004E5D2F">
        <w:rPr>
          <w:iCs/>
          <w:lang w:val="en-GB"/>
        </w:rPr>
        <w:t xml:space="preserve">(See </w:t>
      </w:r>
      <w:hyperlink r:id="rId19" w:history="1">
        <w:r w:rsidR="004E5D2F" w:rsidRPr="00572CAC">
          <w:rPr>
            <w:rStyle w:val="Hyperlink"/>
            <w:lang w:val="en-US"/>
          </w:rPr>
          <w:t>CRPD/C/POL/CO/1</w:t>
        </w:r>
      </w:hyperlink>
      <w:r w:rsidR="004E5D2F">
        <w:rPr>
          <w:lang w:val="en-US"/>
        </w:rPr>
        <w:t xml:space="preserve">, </w:t>
      </w:r>
      <w:r w:rsidR="002668EA">
        <w:rPr>
          <w:lang w:val="en-US"/>
        </w:rPr>
        <w:t>p</w:t>
      </w:r>
      <w:r w:rsidR="004E5D2F">
        <w:rPr>
          <w:lang w:val="en-US"/>
        </w:rPr>
        <w:t>ara 21</w:t>
      </w:r>
      <w:r>
        <w:rPr>
          <w:lang w:val="en-US"/>
        </w:rPr>
        <w:t xml:space="preserve">, </w:t>
      </w:r>
      <w:r w:rsidR="004E5D2F">
        <w:rPr>
          <w:lang w:val="en-US"/>
        </w:rPr>
        <w:t>22)</w:t>
      </w:r>
    </w:p>
    <w:p w14:paraId="5901B04E" w14:textId="23DC6D57" w:rsidR="001B7CA2" w:rsidRPr="001B7CA2" w:rsidRDefault="001B7CA2" w:rsidP="001B7CA2">
      <w:pPr>
        <w:rPr>
          <w:lang w:val="en-GB"/>
        </w:rPr>
      </w:pPr>
      <w:r w:rsidRPr="001B7CA2">
        <w:rPr>
          <w:i/>
          <w:iCs/>
          <w:lang w:val="en-GB"/>
        </w:rPr>
        <w:t xml:space="preserve">12. Resources of the judiciary (human/financial/material) </w:t>
      </w:r>
    </w:p>
    <w:p w14:paraId="30D576F4" w14:textId="7A0CCB1B" w:rsidR="001B7CA2" w:rsidRDefault="001B7CA2" w:rsidP="001B7CA2">
      <w:pPr>
        <w:rPr>
          <w:i/>
          <w:iCs/>
          <w:lang w:val="en-GB"/>
        </w:rPr>
      </w:pPr>
      <w:r w:rsidRPr="009D1508">
        <w:rPr>
          <w:i/>
          <w:iCs/>
          <w:lang w:val="en-GB"/>
        </w:rPr>
        <w:t>13. Training of justice professionals (including judges, prosecutors, lawyers, court staff)</w:t>
      </w:r>
      <w:r w:rsidRPr="001B7CA2">
        <w:rPr>
          <w:i/>
          <w:iCs/>
          <w:lang w:val="en-GB"/>
        </w:rPr>
        <w:t xml:space="preserve"> </w:t>
      </w:r>
    </w:p>
    <w:p w14:paraId="69F1BC88" w14:textId="44749A5A" w:rsidR="0096772C" w:rsidRDefault="000E3E0A" w:rsidP="0096772C">
      <w:pPr>
        <w:jc w:val="both"/>
        <w:rPr>
          <w:lang w:val="en-US"/>
        </w:rPr>
      </w:pPr>
      <w:r>
        <w:rPr>
          <w:bCs/>
          <w:lang w:val="en-GB"/>
        </w:rPr>
        <w:t>I</w:t>
      </w:r>
      <w:r w:rsidRPr="00CC6B37">
        <w:rPr>
          <w:bCs/>
          <w:lang w:val="en-GB"/>
        </w:rPr>
        <w:t xml:space="preserve">n its 2019 </w:t>
      </w:r>
      <w:r>
        <w:rPr>
          <w:bCs/>
          <w:lang w:val="en-GB"/>
        </w:rPr>
        <w:t>c</w:t>
      </w:r>
      <w:r w:rsidRPr="00CC6B37">
        <w:rPr>
          <w:bCs/>
          <w:lang w:val="en-GB"/>
        </w:rPr>
        <w:t>oncluding observations</w:t>
      </w:r>
      <w:r>
        <w:rPr>
          <w:bCs/>
          <w:lang w:val="en-GB"/>
        </w:rPr>
        <w:t>, t</w:t>
      </w:r>
      <w:r w:rsidR="0096772C" w:rsidRPr="00CC6B37">
        <w:rPr>
          <w:bCs/>
          <w:lang w:val="en-GB"/>
        </w:rPr>
        <w:t xml:space="preserve">he UN Committee on the </w:t>
      </w:r>
      <w:r w:rsidR="0096772C">
        <w:rPr>
          <w:bCs/>
          <w:lang w:val="en-GB"/>
        </w:rPr>
        <w:t xml:space="preserve">Elimination of </w:t>
      </w:r>
      <w:r w:rsidR="0096772C" w:rsidRPr="00CC6B37">
        <w:rPr>
          <w:bCs/>
          <w:lang w:val="en-GB"/>
        </w:rPr>
        <w:t>R</w:t>
      </w:r>
      <w:r w:rsidR="006B2EEF">
        <w:rPr>
          <w:bCs/>
          <w:lang w:val="en-GB"/>
        </w:rPr>
        <w:t>acial Discrimination</w:t>
      </w:r>
      <w:r w:rsidR="0096772C">
        <w:rPr>
          <w:bCs/>
          <w:lang w:val="en-GB"/>
        </w:rPr>
        <w:t xml:space="preserve"> recommended to s</w:t>
      </w:r>
      <w:r w:rsidR="0096772C" w:rsidRPr="0096772C">
        <w:rPr>
          <w:bCs/>
          <w:lang w:val="en-GB"/>
        </w:rPr>
        <w:t>trengthen the training of judicial officials on the provisions of the Convention and provide detailed examples of cases of racial discrimination decided by judicial and other relevant complaint mechanisms.</w:t>
      </w:r>
      <w:r>
        <w:rPr>
          <w:lang w:val="en-US"/>
        </w:rPr>
        <w:t xml:space="preserve"> </w:t>
      </w:r>
      <w:r w:rsidR="0096772C">
        <w:rPr>
          <w:lang w:val="en-US"/>
        </w:rPr>
        <w:t xml:space="preserve">(See </w:t>
      </w:r>
      <w:hyperlink r:id="rId20" w:history="1">
        <w:r w:rsidR="0096772C" w:rsidRPr="00572CAC">
          <w:rPr>
            <w:rStyle w:val="Hyperlink"/>
            <w:lang w:val="en-US"/>
          </w:rPr>
          <w:t>CERD/C/POL/CO/22-24</w:t>
        </w:r>
      </w:hyperlink>
      <w:r w:rsidR="0096772C">
        <w:rPr>
          <w:lang w:val="en-US"/>
        </w:rPr>
        <w:t>, para 8)</w:t>
      </w:r>
    </w:p>
    <w:p w14:paraId="43CA95B6" w14:textId="0CB4ECAF" w:rsidR="00BF199A" w:rsidRDefault="00BF199A" w:rsidP="00BF199A">
      <w:pPr>
        <w:jc w:val="both"/>
        <w:rPr>
          <w:rFonts w:cstheme="minorHAnsi"/>
          <w:lang w:val="en-GB"/>
        </w:rPr>
      </w:pPr>
      <w:r w:rsidRPr="00BF199A">
        <w:rPr>
          <w:iCs/>
          <w:lang w:val="en-GB"/>
        </w:rPr>
        <w:t xml:space="preserve">The </w:t>
      </w:r>
      <w:r w:rsidR="000E3E0A">
        <w:rPr>
          <w:iCs/>
          <w:lang w:val="en-GB"/>
        </w:rPr>
        <w:t xml:space="preserve">UN </w:t>
      </w:r>
      <w:r w:rsidRPr="00BF199A">
        <w:rPr>
          <w:iCs/>
          <w:lang w:val="en-GB"/>
        </w:rPr>
        <w:t xml:space="preserve">Committee against Torture in its </w:t>
      </w:r>
      <w:r w:rsidR="00DC5B32">
        <w:rPr>
          <w:iCs/>
          <w:lang w:val="en-GB"/>
        </w:rPr>
        <w:t xml:space="preserve">2019 </w:t>
      </w:r>
      <w:r w:rsidR="00252C8E">
        <w:rPr>
          <w:iCs/>
          <w:lang w:val="en-GB"/>
        </w:rPr>
        <w:t>c</w:t>
      </w:r>
      <w:r w:rsidRPr="00BF199A">
        <w:rPr>
          <w:iCs/>
          <w:lang w:val="en-GB"/>
        </w:rPr>
        <w:t xml:space="preserve">oncluding observations urged </w:t>
      </w:r>
      <w:r w:rsidR="000E3E0A">
        <w:rPr>
          <w:iCs/>
          <w:lang w:val="en-GB"/>
        </w:rPr>
        <w:t xml:space="preserve">Poland to </w:t>
      </w:r>
      <w:r w:rsidR="00E943EC" w:rsidRPr="009E48E9">
        <w:rPr>
          <w:iCs/>
          <w:lang w:val="en-GB"/>
        </w:rPr>
        <w:t>provide</w:t>
      </w:r>
      <w:r w:rsidR="009E48E9" w:rsidRPr="009E48E9">
        <w:rPr>
          <w:iCs/>
          <w:lang w:val="en-GB"/>
        </w:rPr>
        <w:t xml:space="preserve"> training to judges and prosecutors in order to ensure their ability to effectively identify torture and ill-treatment and investigate all allegations of con</w:t>
      </w:r>
      <w:r w:rsidR="002C4AD7">
        <w:rPr>
          <w:iCs/>
          <w:lang w:val="en-GB"/>
        </w:rPr>
        <w:t xml:space="preserve">fessions obtained under torture. </w:t>
      </w:r>
      <w:r w:rsidR="000E3E0A">
        <w:rPr>
          <w:iCs/>
          <w:lang w:val="en-GB"/>
        </w:rPr>
        <w:t xml:space="preserve">It also </w:t>
      </w:r>
      <w:r w:rsidR="002C4AD7">
        <w:rPr>
          <w:iCs/>
          <w:lang w:val="en-GB"/>
        </w:rPr>
        <w:t>recommended to e</w:t>
      </w:r>
      <w:r w:rsidR="002C4AD7" w:rsidRPr="002C4AD7">
        <w:rPr>
          <w:iCs/>
          <w:lang w:val="en-GB"/>
        </w:rPr>
        <w:t>nsure that all law enforcement officers, civilian judges, military judges and public prosecutors receive mandatory training emphasizing the link between non-coercive interrogation techniques, the prohibition of torture and ill-treatment and the obligation of the judiciary to invalidate confessions made under torture.</w:t>
      </w:r>
      <w:r w:rsidR="000E3E0A">
        <w:rPr>
          <w:iCs/>
          <w:lang w:val="en-GB"/>
        </w:rPr>
        <w:t xml:space="preserve"> It further re</w:t>
      </w:r>
      <w:r w:rsidR="00561741">
        <w:rPr>
          <w:iCs/>
          <w:lang w:val="en-GB"/>
        </w:rPr>
        <w:t xml:space="preserve">commended that </w:t>
      </w:r>
      <w:r w:rsidR="000E3E0A">
        <w:rPr>
          <w:iCs/>
          <w:lang w:val="en-GB"/>
        </w:rPr>
        <w:t xml:space="preserve">Poland </w:t>
      </w:r>
      <w:r w:rsidR="00561741">
        <w:rPr>
          <w:iCs/>
          <w:lang w:val="en-GB"/>
        </w:rPr>
        <w:t>p</w:t>
      </w:r>
      <w:r w:rsidR="00561741" w:rsidRPr="00561741">
        <w:rPr>
          <w:iCs/>
          <w:lang w:val="en-GB"/>
        </w:rPr>
        <w:t>rovide mandatory and continuous training on trafficking to all justic</w:t>
      </w:r>
      <w:r w:rsidR="00561741">
        <w:rPr>
          <w:iCs/>
          <w:lang w:val="en-GB"/>
        </w:rPr>
        <w:t>e and law enforcement personnel and</w:t>
      </w:r>
      <w:r w:rsidR="00561741" w:rsidRPr="00561741">
        <w:rPr>
          <w:lang w:val="en-US"/>
        </w:rPr>
        <w:t xml:space="preserve"> </w:t>
      </w:r>
      <w:r w:rsidR="00561741">
        <w:rPr>
          <w:iCs/>
          <w:lang w:val="en-GB"/>
        </w:rPr>
        <w:t>s</w:t>
      </w:r>
      <w:r w:rsidR="00561741" w:rsidRPr="00561741">
        <w:rPr>
          <w:iCs/>
          <w:lang w:val="en-GB"/>
        </w:rPr>
        <w:t>ystematically monitor and evaluate the impact of measures against trafficking and compile data on investigations, prosecutions and punishments against traffickers.</w:t>
      </w:r>
      <w:r w:rsidR="00DD1A75" w:rsidRPr="00C34944">
        <w:rPr>
          <w:rFonts w:eastAsia="Calibri" w:cstheme="minorHAnsi"/>
          <w:lang w:val="en-GB"/>
        </w:rPr>
        <w:t xml:space="preserve"> </w:t>
      </w:r>
      <w:r w:rsidRPr="00C34944">
        <w:rPr>
          <w:rFonts w:eastAsia="Calibri" w:cstheme="minorHAnsi"/>
          <w:lang w:val="en-GB"/>
        </w:rPr>
        <w:t>(</w:t>
      </w:r>
      <w:r w:rsidRPr="00C34944">
        <w:rPr>
          <w:rFonts w:cstheme="minorHAnsi"/>
          <w:lang w:val="en-GB"/>
        </w:rPr>
        <w:t>See</w:t>
      </w:r>
      <w:r>
        <w:rPr>
          <w:rFonts w:cstheme="minorHAnsi"/>
          <w:lang w:val="en-GB"/>
        </w:rPr>
        <w:t xml:space="preserve"> </w:t>
      </w:r>
      <w:hyperlink r:id="rId21" w:history="1">
        <w:r w:rsidRPr="00572CAC">
          <w:rPr>
            <w:rStyle w:val="Hyperlink"/>
            <w:rFonts w:cstheme="minorHAnsi"/>
            <w:lang w:val="en-GB"/>
          </w:rPr>
          <w:t>CAT/C/POL/CO/7</w:t>
        </w:r>
      </w:hyperlink>
      <w:r>
        <w:rPr>
          <w:rFonts w:cstheme="minorHAnsi"/>
          <w:lang w:val="en-GB"/>
        </w:rPr>
        <w:t xml:space="preserve">, para </w:t>
      </w:r>
      <w:r w:rsidR="00DD1A75">
        <w:rPr>
          <w:rFonts w:cstheme="minorHAnsi"/>
          <w:lang w:val="en-GB"/>
        </w:rPr>
        <w:t>10</w:t>
      </w:r>
      <w:r w:rsidR="00561741">
        <w:rPr>
          <w:rFonts w:cstheme="minorHAnsi"/>
          <w:lang w:val="en-GB"/>
        </w:rPr>
        <w:t>,</w:t>
      </w:r>
      <w:r w:rsidR="002C4AD7">
        <w:rPr>
          <w:rFonts w:cstheme="minorHAnsi"/>
          <w:lang w:val="en-GB"/>
        </w:rPr>
        <w:t xml:space="preserve"> 28</w:t>
      </w:r>
      <w:r w:rsidR="00561741">
        <w:rPr>
          <w:rFonts w:cstheme="minorHAnsi"/>
          <w:lang w:val="en-GB"/>
        </w:rPr>
        <w:t xml:space="preserve"> and 38</w:t>
      </w:r>
      <w:r>
        <w:rPr>
          <w:rFonts w:cstheme="minorHAnsi"/>
          <w:lang w:val="en-GB"/>
        </w:rPr>
        <w:t>).</w:t>
      </w:r>
    </w:p>
    <w:p w14:paraId="1AD902D7" w14:textId="303EAE8D" w:rsidR="002969C5" w:rsidRDefault="00D027D9" w:rsidP="00962913">
      <w:pPr>
        <w:jc w:val="both"/>
        <w:rPr>
          <w:iCs/>
          <w:lang w:val="en-GB"/>
        </w:rPr>
      </w:pPr>
      <w:r>
        <w:rPr>
          <w:iCs/>
          <w:lang w:val="en-GB"/>
        </w:rPr>
        <w:t xml:space="preserve">In </w:t>
      </w:r>
      <w:r w:rsidR="00252C8E">
        <w:rPr>
          <w:iCs/>
          <w:lang w:val="en-GB"/>
        </w:rPr>
        <w:t xml:space="preserve">the </w:t>
      </w:r>
      <w:r w:rsidR="00DC5B32">
        <w:rPr>
          <w:iCs/>
          <w:lang w:val="en-GB"/>
        </w:rPr>
        <w:t xml:space="preserve">2019 </w:t>
      </w:r>
      <w:r>
        <w:rPr>
          <w:iCs/>
          <w:lang w:val="en-GB"/>
        </w:rPr>
        <w:t>r</w:t>
      </w:r>
      <w:r w:rsidRPr="00D027D9">
        <w:rPr>
          <w:iCs/>
          <w:lang w:val="en-GB"/>
        </w:rPr>
        <w:t>eport</w:t>
      </w:r>
      <w:r>
        <w:rPr>
          <w:iCs/>
          <w:lang w:val="en-GB"/>
        </w:rPr>
        <w:t xml:space="preserve"> following </w:t>
      </w:r>
      <w:r w:rsidR="00252C8E">
        <w:rPr>
          <w:iCs/>
          <w:lang w:val="en-GB"/>
        </w:rPr>
        <w:t>its</w:t>
      </w:r>
      <w:r>
        <w:rPr>
          <w:iCs/>
          <w:lang w:val="en-GB"/>
        </w:rPr>
        <w:t xml:space="preserve"> visit to Poland, </w:t>
      </w:r>
      <w:r w:rsidRPr="00D027D9">
        <w:rPr>
          <w:iCs/>
          <w:lang w:val="en-GB"/>
        </w:rPr>
        <w:t>the</w:t>
      </w:r>
      <w:r w:rsidR="000E3E0A">
        <w:rPr>
          <w:iCs/>
          <w:lang w:val="en-GB"/>
        </w:rPr>
        <w:t xml:space="preserve"> UN</w:t>
      </w:r>
      <w:r w:rsidRPr="00D027D9">
        <w:rPr>
          <w:iCs/>
          <w:lang w:val="en-GB"/>
        </w:rPr>
        <w:t xml:space="preserve"> Working Group on the issue of discrimination against</w:t>
      </w:r>
      <w:r w:rsidR="002969C5">
        <w:rPr>
          <w:iCs/>
          <w:lang w:val="en-GB"/>
        </w:rPr>
        <w:t xml:space="preserve"> </w:t>
      </w:r>
      <w:r w:rsidRPr="00D027D9">
        <w:rPr>
          <w:iCs/>
          <w:lang w:val="en-GB"/>
        </w:rPr>
        <w:t>women in law and in practice</w:t>
      </w:r>
      <w:r>
        <w:rPr>
          <w:iCs/>
          <w:lang w:val="en-GB"/>
        </w:rPr>
        <w:t xml:space="preserve"> noted </w:t>
      </w:r>
      <w:r w:rsidR="002969C5" w:rsidRPr="002969C5">
        <w:rPr>
          <w:iCs/>
          <w:lang w:val="en-GB"/>
        </w:rPr>
        <w:t>the positive changes in attitudes among law</w:t>
      </w:r>
      <w:r w:rsidR="002969C5">
        <w:rPr>
          <w:iCs/>
          <w:lang w:val="en-GB"/>
        </w:rPr>
        <w:t xml:space="preserve"> </w:t>
      </w:r>
      <w:r w:rsidR="002969C5" w:rsidRPr="002969C5">
        <w:rPr>
          <w:iCs/>
          <w:lang w:val="en-GB"/>
        </w:rPr>
        <w:t xml:space="preserve">enforcement personnel and judicial actors and of various training courses. </w:t>
      </w:r>
      <w:r w:rsidR="00252C8E">
        <w:rPr>
          <w:iCs/>
          <w:lang w:val="en-GB"/>
        </w:rPr>
        <w:t>However there was a need to r</w:t>
      </w:r>
      <w:r w:rsidR="00252C8E" w:rsidRPr="00D17788">
        <w:rPr>
          <w:iCs/>
          <w:lang w:val="en-GB"/>
        </w:rPr>
        <w:t xml:space="preserve">eview the content of training and education programmes </w:t>
      </w:r>
      <w:r w:rsidR="00252C8E">
        <w:rPr>
          <w:iCs/>
          <w:lang w:val="en-GB"/>
        </w:rPr>
        <w:t xml:space="preserve">to ensure </w:t>
      </w:r>
      <w:r w:rsidR="00252C8E" w:rsidRPr="00252C8E">
        <w:rPr>
          <w:iCs/>
          <w:lang w:val="en-GB"/>
        </w:rPr>
        <w:t xml:space="preserve">greater understanding </w:t>
      </w:r>
      <w:r w:rsidR="00D17788" w:rsidRPr="00D17788">
        <w:rPr>
          <w:iCs/>
          <w:lang w:val="en-GB"/>
        </w:rPr>
        <w:t>by justice officials of women’s barriers to access to</w:t>
      </w:r>
      <w:r w:rsidR="00D17788">
        <w:rPr>
          <w:iCs/>
          <w:lang w:val="en-GB"/>
        </w:rPr>
        <w:t xml:space="preserve"> </w:t>
      </w:r>
      <w:r w:rsidR="00D17788" w:rsidRPr="00D17788">
        <w:rPr>
          <w:iCs/>
          <w:lang w:val="en-GB"/>
        </w:rPr>
        <w:t>justice, including those at the legal, institutional, structural, socioeconomic and</w:t>
      </w:r>
      <w:r w:rsidR="00D17788">
        <w:rPr>
          <w:iCs/>
          <w:lang w:val="en-GB"/>
        </w:rPr>
        <w:t xml:space="preserve"> </w:t>
      </w:r>
      <w:r w:rsidR="00D17788" w:rsidRPr="00D17788">
        <w:rPr>
          <w:iCs/>
          <w:lang w:val="en-GB"/>
        </w:rPr>
        <w:t>cultural levels, and making gender-based violence against women an explicit and</w:t>
      </w:r>
      <w:r w:rsidR="00D17788">
        <w:rPr>
          <w:iCs/>
          <w:lang w:val="en-GB"/>
        </w:rPr>
        <w:t xml:space="preserve"> </w:t>
      </w:r>
      <w:r w:rsidR="00D17788" w:rsidRPr="00D17788">
        <w:rPr>
          <w:iCs/>
          <w:lang w:val="en-GB"/>
        </w:rPr>
        <w:t>integral part of the curriculum, occupying a dedicated space</w:t>
      </w:r>
      <w:r w:rsidR="004C0B1F">
        <w:rPr>
          <w:iCs/>
          <w:lang w:val="en-GB"/>
        </w:rPr>
        <w:t>.</w:t>
      </w:r>
      <w:r w:rsidR="000E3E0A">
        <w:rPr>
          <w:iCs/>
          <w:lang w:val="en-GB"/>
        </w:rPr>
        <w:t xml:space="preserve"> </w:t>
      </w:r>
      <w:r w:rsidR="002969C5">
        <w:rPr>
          <w:iCs/>
          <w:lang w:val="en-GB"/>
        </w:rPr>
        <w:t xml:space="preserve">(See </w:t>
      </w:r>
      <w:hyperlink r:id="rId22" w:history="1">
        <w:r w:rsidR="002969C5" w:rsidRPr="00572CAC">
          <w:rPr>
            <w:rStyle w:val="Hyperlink"/>
            <w:iCs/>
            <w:lang w:val="en-GB"/>
          </w:rPr>
          <w:t>A/HRC/41/33/Add.</w:t>
        </w:r>
        <w:r w:rsidR="00CD7A88" w:rsidRPr="00572CAC">
          <w:rPr>
            <w:rStyle w:val="Hyperlink"/>
            <w:iCs/>
            <w:lang w:val="en-GB"/>
          </w:rPr>
          <w:t>2</w:t>
        </w:r>
      </w:hyperlink>
      <w:r w:rsidR="00572CAC">
        <w:rPr>
          <w:iCs/>
          <w:lang w:val="en-GB"/>
        </w:rPr>
        <w:t>,</w:t>
      </w:r>
      <w:r w:rsidR="00CD7A88">
        <w:rPr>
          <w:iCs/>
          <w:lang w:val="en-GB"/>
        </w:rPr>
        <w:t xml:space="preserve"> </w:t>
      </w:r>
      <w:r w:rsidR="00572CAC">
        <w:rPr>
          <w:iCs/>
          <w:lang w:val="en-GB"/>
        </w:rPr>
        <w:t>p</w:t>
      </w:r>
      <w:r w:rsidR="00CD7A88">
        <w:rPr>
          <w:iCs/>
          <w:lang w:val="en-GB"/>
        </w:rPr>
        <w:t>ara 67</w:t>
      </w:r>
      <w:r w:rsidR="00D17788">
        <w:rPr>
          <w:iCs/>
          <w:lang w:val="en-GB"/>
        </w:rPr>
        <w:t xml:space="preserve"> and 87</w:t>
      </w:r>
      <w:r w:rsidR="00CD7A88">
        <w:rPr>
          <w:iCs/>
          <w:lang w:val="en-GB"/>
        </w:rPr>
        <w:t>f</w:t>
      </w:r>
      <w:r w:rsidR="002969C5">
        <w:rPr>
          <w:iCs/>
          <w:lang w:val="en-GB"/>
        </w:rPr>
        <w:t>)</w:t>
      </w:r>
    </w:p>
    <w:p w14:paraId="4B49B520" w14:textId="45AC0FF8" w:rsidR="00AB39DD" w:rsidRDefault="000E3E0A" w:rsidP="00962913">
      <w:pPr>
        <w:jc w:val="both"/>
        <w:rPr>
          <w:lang w:val="en-US"/>
        </w:rPr>
      </w:pPr>
      <w:r w:rsidRPr="00962913">
        <w:rPr>
          <w:lang w:val="en-US"/>
        </w:rPr>
        <w:t>I</w:t>
      </w:r>
      <w:r>
        <w:rPr>
          <w:iCs/>
          <w:lang w:val="en-GB"/>
        </w:rPr>
        <w:t>n its 2018 C</w:t>
      </w:r>
      <w:r w:rsidRPr="00AB39DD">
        <w:rPr>
          <w:iCs/>
          <w:lang w:val="en-GB"/>
        </w:rPr>
        <w:t>oncluding observations</w:t>
      </w:r>
      <w:r w:rsidRPr="00962913">
        <w:rPr>
          <w:lang w:val="en-US"/>
        </w:rPr>
        <w:t>, th</w:t>
      </w:r>
      <w:r w:rsidR="00E87A2E">
        <w:rPr>
          <w:iCs/>
          <w:lang w:val="en-GB"/>
        </w:rPr>
        <w:t xml:space="preserve">e </w:t>
      </w:r>
      <w:r>
        <w:rPr>
          <w:iCs/>
          <w:lang w:val="en-GB"/>
        </w:rPr>
        <w:t xml:space="preserve">UN </w:t>
      </w:r>
      <w:r w:rsidR="00AB39DD" w:rsidRPr="00AB39DD">
        <w:rPr>
          <w:iCs/>
          <w:lang w:val="en-GB"/>
        </w:rPr>
        <w:t>Committee on the Rights of Persons with Disabilities</w:t>
      </w:r>
      <w:r w:rsidR="00E87A2E">
        <w:rPr>
          <w:iCs/>
          <w:lang w:val="en-GB"/>
        </w:rPr>
        <w:t xml:space="preserve"> recommended that the State party p</w:t>
      </w:r>
      <w:r w:rsidR="00AB39DD" w:rsidRPr="00AB39DD">
        <w:rPr>
          <w:iCs/>
          <w:lang w:val="en-GB"/>
        </w:rPr>
        <w:t xml:space="preserve">rovide training to professionals, including judges and law </w:t>
      </w:r>
      <w:r w:rsidR="00AB39DD" w:rsidRPr="00AB39DD">
        <w:rPr>
          <w:iCs/>
          <w:lang w:val="en-GB"/>
        </w:rPr>
        <w:lastRenderedPageBreak/>
        <w:t xml:space="preserve">enforcement officials, to raise their awareness of </w:t>
      </w:r>
      <w:r w:rsidR="00AB39DD">
        <w:rPr>
          <w:iCs/>
          <w:lang w:val="en-GB"/>
        </w:rPr>
        <w:t>the rights under the Convention</w:t>
      </w:r>
      <w:r w:rsidR="00DC5B32">
        <w:rPr>
          <w:iCs/>
          <w:lang w:val="en-GB"/>
        </w:rPr>
        <w:t xml:space="preserve"> </w:t>
      </w:r>
      <w:r w:rsidR="00DC5B32" w:rsidRPr="00962913">
        <w:rPr>
          <w:iCs/>
          <w:lang w:val="en-GB"/>
        </w:rPr>
        <w:t>on the Rights of Persons with Disabilities</w:t>
      </w:r>
      <w:r w:rsidR="00AB39DD">
        <w:rPr>
          <w:iCs/>
          <w:lang w:val="en-GB"/>
        </w:rPr>
        <w:t>.</w:t>
      </w:r>
      <w:r w:rsidR="00252C8E">
        <w:rPr>
          <w:iCs/>
          <w:lang w:val="en-GB"/>
        </w:rPr>
        <w:t xml:space="preserve"> </w:t>
      </w:r>
      <w:r w:rsidR="00AB39DD">
        <w:rPr>
          <w:iCs/>
          <w:lang w:val="en-GB"/>
        </w:rPr>
        <w:t xml:space="preserve">(See </w:t>
      </w:r>
      <w:hyperlink r:id="rId23" w:history="1">
        <w:r w:rsidR="00AB39DD" w:rsidRPr="00572CAC">
          <w:rPr>
            <w:rStyle w:val="Hyperlink"/>
            <w:lang w:val="en-US"/>
          </w:rPr>
          <w:t>CRPD/C/POL/CO/1</w:t>
        </w:r>
      </w:hyperlink>
      <w:r w:rsidR="00AB39DD">
        <w:rPr>
          <w:lang w:val="en-US"/>
        </w:rPr>
        <w:t xml:space="preserve">, </w:t>
      </w:r>
      <w:r w:rsidR="00DC5B32">
        <w:rPr>
          <w:lang w:val="en-US"/>
        </w:rPr>
        <w:t>p</w:t>
      </w:r>
      <w:r w:rsidR="00AB39DD">
        <w:rPr>
          <w:lang w:val="en-US"/>
        </w:rPr>
        <w:t>ara 6</w:t>
      </w:r>
      <w:r w:rsidR="00EB0581">
        <w:rPr>
          <w:lang w:val="en-US"/>
        </w:rPr>
        <w:t>e</w:t>
      </w:r>
      <w:r w:rsidR="00AB39DD">
        <w:rPr>
          <w:lang w:val="en-US"/>
        </w:rPr>
        <w:t>)</w:t>
      </w:r>
    </w:p>
    <w:p w14:paraId="08414796" w14:textId="77777777" w:rsidR="001B7CA2" w:rsidRPr="001B7CA2" w:rsidRDefault="001B7CA2" w:rsidP="001B7CA2">
      <w:pPr>
        <w:rPr>
          <w:lang w:val="en-GB"/>
        </w:rPr>
      </w:pPr>
      <w:r w:rsidRPr="001B7CA2">
        <w:rPr>
          <w:i/>
          <w:iCs/>
          <w:lang w:val="en-GB"/>
        </w:rPr>
        <w:t xml:space="preserve">14. Digitalisation (e.g. use of digital technology, particularly electronic communication tools, within the justice system and with court users, including resilience of justice systems in COVID-19 pandemic) </w:t>
      </w:r>
    </w:p>
    <w:p w14:paraId="4B63E9E8" w14:textId="77777777" w:rsidR="001B7CA2" w:rsidRPr="001B7CA2" w:rsidRDefault="001B7CA2" w:rsidP="001B7CA2">
      <w:pPr>
        <w:rPr>
          <w:lang w:val="en-GB"/>
        </w:rPr>
      </w:pPr>
      <w:r w:rsidRPr="001B7CA2">
        <w:rPr>
          <w:i/>
          <w:iCs/>
          <w:lang w:val="en-GB"/>
        </w:rPr>
        <w:t xml:space="preserve">15. Use of assessment tools and standards (e.g. ICT systems for case management, court statistics and their transparency, monitoring, evaluation, surveys among court users or legal professionals) </w:t>
      </w:r>
    </w:p>
    <w:p w14:paraId="53114DC2" w14:textId="77777777" w:rsidR="001B7CA2" w:rsidRPr="001B7CA2" w:rsidRDefault="001B7CA2" w:rsidP="001B7CA2">
      <w:pPr>
        <w:rPr>
          <w:lang w:val="en-GB"/>
        </w:rPr>
      </w:pPr>
      <w:r w:rsidRPr="001B7CA2">
        <w:rPr>
          <w:i/>
          <w:iCs/>
          <w:lang w:val="en-GB"/>
        </w:rPr>
        <w:t xml:space="preserve">16. Geographical distribution and number of courts/jurisdictions (“judicial map”) and their specialisation </w:t>
      </w:r>
    </w:p>
    <w:p w14:paraId="5CD1D694" w14:textId="77777777" w:rsidR="001B7CA2" w:rsidRPr="001B7CA2" w:rsidRDefault="001B7CA2" w:rsidP="001B7CA2">
      <w:pPr>
        <w:rPr>
          <w:lang w:val="en-GB"/>
        </w:rPr>
      </w:pPr>
      <w:r w:rsidRPr="001B7CA2">
        <w:rPr>
          <w:b/>
          <w:bCs/>
          <w:i/>
          <w:iCs/>
          <w:lang w:val="en-GB"/>
        </w:rPr>
        <w:t xml:space="preserve">C. Efficiency of the justice system </w:t>
      </w:r>
    </w:p>
    <w:p w14:paraId="22318488" w14:textId="64862F05" w:rsidR="001B7CA2" w:rsidRPr="00CE4C75" w:rsidRDefault="001B7CA2" w:rsidP="001B7CA2">
      <w:pPr>
        <w:rPr>
          <w:rFonts w:cstheme="minorHAnsi"/>
          <w:i/>
          <w:iCs/>
          <w:lang w:val="en-GB"/>
        </w:rPr>
      </w:pPr>
      <w:r w:rsidRPr="001B7CA2">
        <w:rPr>
          <w:i/>
          <w:iCs/>
          <w:lang w:val="en-GB"/>
        </w:rPr>
        <w:t xml:space="preserve">17. Length of proceedings </w:t>
      </w:r>
    </w:p>
    <w:p w14:paraId="1FBA5406" w14:textId="70C0387A" w:rsidR="00CE4C75" w:rsidRPr="00CE4C75" w:rsidRDefault="00CE4C75" w:rsidP="00B1077E">
      <w:pPr>
        <w:pStyle w:val="NormalWeb"/>
        <w:jc w:val="both"/>
        <w:rPr>
          <w:rFonts w:asciiTheme="minorHAnsi" w:hAnsiTheme="minorHAnsi" w:cstheme="minorHAnsi"/>
          <w:bCs/>
          <w:sz w:val="22"/>
          <w:szCs w:val="22"/>
        </w:rPr>
      </w:pPr>
      <w:r w:rsidRPr="00CE4C75">
        <w:rPr>
          <w:rFonts w:asciiTheme="minorHAnsi" w:hAnsiTheme="minorHAnsi" w:cstheme="minorHAnsi"/>
          <w:sz w:val="22"/>
          <w:szCs w:val="22"/>
          <w:lang w:val="en-GB"/>
        </w:rPr>
        <w:t xml:space="preserve">In the 2020 report following its visit to Poland, the UN Subcommittee on Prevention of Torture and Other Cruel, Inhuman or Degrading Treatment or Punishment (SPT) </w:t>
      </w:r>
      <w:r>
        <w:rPr>
          <w:rFonts w:asciiTheme="minorHAnsi" w:hAnsiTheme="minorHAnsi" w:cstheme="minorHAnsi"/>
          <w:sz w:val="22"/>
          <w:szCs w:val="22"/>
          <w:lang w:val="en-GB"/>
        </w:rPr>
        <w:t>noted that a</w:t>
      </w:r>
      <w:r w:rsidR="004E2A0C" w:rsidRPr="00CE4C75">
        <w:rPr>
          <w:rFonts w:asciiTheme="minorHAnsi" w:hAnsiTheme="minorHAnsi" w:cstheme="minorHAnsi"/>
          <w:sz w:val="22"/>
          <w:szCs w:val="22"/>
        </w:rPr>
        <w:t>lthough the Criminal Procedure Code prescribes the maximum legal durations for pretrial detention, a number of detainees interviewed by the delegation complained that the length of their detention on remand lasted for excessive amounts of time, in some cases more than on</w:t>
      </w:r>
      <w:r>
        <w:rPr>
          <w:rFonts w:asciiTheme="minorHAnsi" w:hAnsiTheme="minorHAnsi" w:cstheme="minorHAnsi"/>
          <w:sz w:val="22"/>
          <w:szCs w:val="22"/>
        </w:rPr>
        <w:t>e year. The Subcommittee recalled</w:t>
      </w:r>
      <w:r w:rsidR="004E2A0C" w:rsidRPr="00CE4C75">
        <w:rPr>
          <w:rFonts w:asciiTheme="minorHAnsi" w:hAnsiTheme="minorHAnsi" w:cstheme="minorHAnsi"/>
          <w:sz w:val="22"/>
          <w:szCs w:val="22"/>
        </w:rPr>
        <w:t xml:space="preserve"> that detention in custody of persons awaiting trial should be the exception rather than the rule</w:t>
      </w:r>
      <w:r>
        <w:rPr>
          <w:rFonts w:asciiTheme="minorHAnsi" w:hAnsiTheme="minorHAnsi" w:cstheme="minorHAnsi"/>
          <w:sz w:val="22"/>
          <w:szCs w:val="22"/>
        </w:rPr>
        <w:t xml:space="preserve">. It recommended that Poland </w:t>
      </w:r>
      <w:r w:rsidR="004E2A0C" w:rsidRPr="00CE4C75">
        <w:rPr>
          <w:rFonts w:asciiTheme="minorHAnsi" w:hAnsiTheme="minorHAnsi" w:cstheme="minorHAnsi"/>
          <w:bCs/>
          <w:sz w:val="22"/>
          <w:szCs w:val="22"/>
        </w:rPr>
        <w:t>take measures to ensure that pretrial detention policy meets international standards, namely that the recourse to detention is always the measure of last resort. It further recommend</w:t>
      </w:r>
      <w:r>
        <w:rPr>
          <w:rFonts w:asciiTheme="minorHAnsi" w:hAnsiTheme="minorHAnsi" w:cstheme="minorHAnsi"/>
          <w:bCs/>
          <w:sz w:val="22"/>
          <w:szCs w:val="22"/>
        </w:rPr>
        <w:t xml:space="preserve">ed that Poland </w:t>
      </w:r>
      <w:r w:rsidR="004E2A0C" w:rsidRPr="00CE4C75">
        <w:rPr>
          <w:rFonts w:asciiTheme="minorHAnsi" w:hAnsiTheme="minorHAnsi" w:cstheme="minorHAnsi"/>
          <w:bCs/>
          <w:sz w:val="22"/>
          <w:szCs w:val="22"/>
        </w:rPr>
        <w:t>consider further increasing the use of alternative measures to pretrial detention and ensure that the mechanism for reviewing detention decisions is effective.</w:t>
      </w:r>
      <w:r w:rsidR="00B1077E">
        <w:rPr>
          <w:rFonts w:asciiTheme="minorHAnsi" w:hAnsiTheme="minorHAnsi" w:cstheme="minorHAnsi"/>
          <w:bCs/>
          <w:sz w:val="22"/>
          <w:szCs w:val="22"/>
        </w:rPr>
        <w:t xml:space="preserve"> </w:t>
      </w:r>
      <w:r w:rsidRPr="00CE4C75">
        <w:rPr>
          <w:rFonts w:asciiTheme="minorHAnsi" w:hAnsiTheme="minorHAnsi" w:cstheme="minorHAnsi"/>
          <w:bCs/>
          <w:sz w:val="22"/>
          <w:szCs w:val="22"/>
        </w:rPr>
        <w:t>(</w:t>
      </w:r>
      <w:hyperlink r:id="rId24" w:history="1">
        <w:r w:rsidRPr="00CE4C75">
          <w:rPr>
            <w:rStyle w:val="Hyperlink"/>
            <w:rFonts w:asciiTheme="minorHAnsi" w:hAnsiTheme="minorHAnsi" w:cstheme="minorHAnsi"/>
            <w:sz w:val="22"/>
            <w:szCs w:val="22"/>
          </w:rPr>
          <w:t>CAT/OP/POL/RONPM/1</w:t>
        </w:r>
      </w:hyperlink>
      <w:r w:rsidRPr="00CE4C75">
        <w:rPr>
          <w:rFonts w:asciiTheme="minorHAnsi" w:hAnsiTheme="minorHAnsi" w:cstheme="minorHAnsi"/>
          <w:sz w:val="22"/>
          <w:szCs w:val="22"/>
        </w:rPr>
        <w:t>, para 78,79)</w:t>
      </w:r>
    </w:p>
    <w:p w14:paraId="60B62A00" w14:textId="57A3EC02" w:rsidR="001B7CA2" w:rsidRDefault="001B7CA2" w:rsidP="001B7CA2">
      <w:pPr>
        <w:rPr>
          <w:b/>
          <w:bCs/>
          <w:i/>
          <w:iCs/>
          <w:lang w:val="en-GB"/>
        </w:rPr>
      </w:pPr>
      <w:r w:rsidRPr="009D1508">
        <w:rPr>
          <w:b/>
          <w:bCs/>
          <w:i/>
          <w:iCs/>
          <w:lang w:val="en-GB"/>
        </w:rPr>
        <w:t xml:space="preserve">Other – please specify </w:t>
      </w:r>
    </w:p>
    <w:p w14:paraId="18DF2809" w14:textId="25A8BA60" w:rsidR="00D76481" w:rsidRPr="00D76481" w:rsidRDefault="00D76481" w:rsidP="00962913">
      <w:pPr>
        <w:jc w:val="both"/>
        <w:rPr>
          <w:b/>
          <w:bCs/>
          <w:i/>
          <w:iCs/>
          <w:lang w:val="en-US"/>
        </w:rPr>
      </w:pPr>
      <w:bookmarkStart w:id="0" w:name="_GoBack"/>
      <w:r w:rsidRPr="00962913">
        <w:rPr>
          <w:bCs/>
          <w:i/>
          <w:iCs/>
          <w:lang w:val="en-GB"/>
        </w:rPr>
        <w:t>Equal recognition before the law</w:t>
      </w:r>
      <w:r w:rsidR="00445679">
        <w:rPr>
          <w:b/>
          <w:bCs/>
          <w:i/>
          <w:iCs/>
          <w:lang w:val="en-GB"/>
        </w:rPr>
        <w:t xml:space="preserve"> - </w:t>
      </w:r>
      <w:r w:rsidRPr="00962913">
        <w:rPr>
          <w:bCs/>
          <w:iCs/>
          <w:lang w:val="en-GB"/>
        </w:rPr>
        <w:t xml:space="preserve">The </w:t>
      </w:r>
      <w:r w:rsidR="00445679">
        <w:rPr>
          <w:bCs/>
          <w:iCs/>
          <w:lang w:val="en-GB"/>
        </w:rPr>
        <w:t xml:space="preserve">UN </w:t>
      </w:r>
      <w:r w:rsidRPr="00962913">
        <w:rPr>
          <w:bCs/>
          <w:iCs/>
          <w:lang w:val="en-GB"/>
        </w:rPr>
        <w:t xml:space="preserve">Committee on the Rights of Persons with Disabilities in its 2019 </w:t>
      </w:r>
      <w:r w:rsidR="00445679">
        <w:rPr>
          <w:bCs/>
          <w:iCs/>
          <w:lang w:val="en-GB"/>
        </w:rPr>
        <w:t>c</w:t>
      </w:r>
      <w:r w:rsidRPr="00962913">
        <w:rPr>
          <w:bCs/>
          <w:iCs/>
          <w:lang w:val="en-GB"/>
        </w:rPr>
        <w:t>oncluding observations call</w:t>
      </w:r>
      <w:r w:rsidR="00E943EC">
        <w:rPr>
          <w:bCs/>
          <w:iCs/>
          <w:lang w:val="en-GB"/>
        </w:rPr>
        <w:t>ed</w:t>
      </w:r>
      <w:r w:rsidRPr="00962913">
        <w:rPr>
          <w:bCs/>
          <w:iCs/>
          <w:lang w:val="en-GB"/>
        </w:rPr>
        <w:t xml:space="preserve"> upon to repeal all discriminatory provisions under the Civil Code and other legal acts allowing for the deprivation of legal capacity of persons with disabilities. It was also recommended that </w:t>
      </w:r>
      <w:r w:rsidR="00445679">
        <w:rPr>
          <w:bCs/>
          <w:iCs/>
          <w:lang w:val="en-GB"/>
        </w:rPr>
        <w:t>Poland</w:t>
      </w:r>
      <w:r w:rsidRPr="00962913">
        <w:rPr>
          <w:bCs/>
          <w:iCs/>
          <w:lang w:val="en-GB"/>
        </w:rPr>
        <w:t xml:space="preserve"> establish a procedure aimed at restoring the full legal capacity of all persons with disabilities, and develop supported decision-making mechanisms that respect their auton</w:t>
      </w:r>
      <w:r w:rsidR="00E85BC4">
        <w:rPr>
          <w:bCs/>
          <w:iCs/>
          <w:lang w:val="en-GB"/>
        </w:rPr>
        <w:t>omy, will and preferences (</w:t>
      </w:r>
      <w:hyperlink r:id="rId25" w:history="1">
        <w:r w:rsidRPr="00962913">
          <w:rPr>
            <w:rStyle w:val="Hyperlink"/>
            <w:bCs/>
            <w:iCs/>
            <w:lang w:val="en-US"/>
          </w:rPr>
          <w:t>CRPD/C/POL/CO/1</w:t>
        </w:r>
      </w:hyperlink>
      <w:r w:rsidRPr="00962913">
        <w:rPr>
          <w:bCs/>
          <w:iCs/>
          <w:lang w:val="en-US"/>
        </w:rPr>
        <w:t>, para 20)</w:t>
      </w:r>
      <w:r w:rsidR="00E85BC4">
        <w:rPr>
          <w:bCs/>
          <w:iCs/>
          <w:lang w:val="en-US"/>
        </w:rPr>
        <w:t>.</w:t>
      </w:r>
    </w:p>
    <w:p w14:paraId="72C25EA4" w14:textId="0B9E14FF" w:rsidR="00E70E81" w:rsidRDefault="00E70E81" w:rsidP="005A53B1">
      <w:pPr>
        <w:jc w:val="both"/>
        <w:rPr>
          <w:lang w:val="en-US"/>
        </w:rPr>
      </w:pPr>
      <w:r w:rsidRPr="009D1508">
        <w:rPr>
          <w:rFonts w:eastAsia="Calibri" w:cstheme="minorHAnsi"/>
          <w:i/>
          <w:iCs/>
          <w:szCs w:val="25"/>
          <w:lang w:val="en-GB"/>
        </w:rPr>
        <w:t>Prosecution of racially motivated crimes</w:t>
      </w:r>
      <w:r w:rsidR="00445679">
        <w:rPr>
          <w:rFonts w:eastAsia="Calibri" w:cstheme="minorHAnsi"/>
          <w:i/>
          <w:iCs/>
          <w:szCs w:val="25"/>
          <w:lang w:val="en-GB"/>
        </w:rPr>
        <w:t xml:space="preserve"> - </w:t>
      </w:r>
      <w:r w:rsidR="00AB4073">
        <w:rPr>
          <w:bCs/>
          <w:lang w:val="en-GB"/>
        </w:rPr>
        <w:t>T</w:t>
      </w:r>
      <w:r w:rsidR="00CC6B37" w:rsidRPr="00CC6B37">
        <w:rPr>
          <w:bCs/>
          <w:lang w:val="en-GB"/>
        </w:rPr>
        <w:t xml:space="preserve">he UN Committee on the </w:t>
      </w:r>
      <w:r w:rsidR="008C4411">
        <w:rPr>
          <w:bCs/>
          <w:lang w:val="en-GB"/>
        </w:rPr>
        <w:t xml:space="preserve">Elimination of </w:t>
      </w:r>
      <w:r w:rsidR="00CC6B37" w:rsidRPr="00CC6B37">
        <w:rPr>
          <w:bCs/>
          <w:lang w:val="en-GB"/>
        </w:rPr>
        <w:t>R</w:t>
      </w:r>
      <w:r w:rsidR="006B2EEF">
        <w:rPr>
          <w:bCs/>
          <w:lang w:val="en-GB"/>
        </w:rPr>
        <w:t>acial Discrimination</w:t>
      </w:r>
      <w:r>
        <w:rPr>
          <w:bCs/>
          <w:lang w:val="en-GB"/>
        </w:rPr>
        <w:t xml:space="preserve"> </w:t>
      </w:r>
      <w:r w:rsidR="00AB4073">
        <w:rPr>
          <w:bCs/>
          <w:lang w:val="en-GB"/>
        </w:rPr>
        <w:t>i</w:t>
      </w:r>
      <w:r w:rsidR="00AB4073" w:rsidRPr="00CC6B37">
        <w:rPr>
          <w:bCs/>
          <w:lang w:val="en-GB"/>
        </w:rPr>
        <w:t xml:space="preserve">n its 2019 </w:t>
      </w:r>
      <w:r w:rsidR="00445679">
        <w:rPr>
          <w:bCs/>
          <w:lang w:val="en-GB"/>
        </w:rPr>
        <w:t>c</w:t>
      </w:r>
      <w:r w:rsidR="00AB4073" w:rsidRPr="00CC6B37">
        <w:rPr>
          <w:bCs/>
          <w:lang w:val="en-GB"/>
        </w:rPr>
        <w:t>oncluding observations</w:t>
      </w:r>
      <w:r w:rsidR="009441AD">
        <w:rPr>
          <w:bCs/>
          <w:lang w:val="en-GB"/>
        </w:rPr>
        <w:t xml:space="preserve"> </w:t>
      </w:r>
      <w:r w:rsidR="00DC5B32">
        <w:rPr>
          <w:bCs/>
          <w:lang w:val="en-GB"/>
        </w:rPr>
        <w:t xml:space="preserve">was </w:t>
      </w:r>
      <w:r w:rsidR="009441AD">
        <w:rPr>
          <w:bCs/>
          <w:lang w:val="en-GB"/>
        </w:rPr>
        <w:t>concerned a</w:t>
      </w:r>
      <w:r w:rsidR="009441AD" w:rsidRPr="009441AD">
        <w:rPr>
          <w:bCs/>
          <w:lang w:val="en-GB"/>
        </w:rPr>
        <w:t xml:space="preserve">bout the extremely low percentage of offences of hate speech and hate crimes that </w:t>
      </w:r>
      <w:r w:rsidR="00445679">
        <w:rPr>
          <w:bCs/>
          <w:lang w:val="en-GB"/>
        </w:rPr>
        <w:t>were</w:t>
      </w:r>
      <w:r w:rsidR="00445679" w:rsidRPr="009441AD">
        <w:rPr>
          <w:bCs/>
          <w:lang w:val="en-GB"/>
        </w:rPr>
        <w:t xml:space="preserve"> </w:t>
      </w:r>
      <w:r w:rsidR="009441AD" w:rsidRPr="009441AD">
        <w:rPr>
          <w:bCs/>
          <w:lang w:val="en-GB"/>
        </w:rPr>
        <w:t>reported, despite the recorded increase in the incidence of such crimes;</w:t>
      </w:r>
      <w:r w:rsidR="00AD14BD">
        <w:rPr>
          <w:bCs/>
          <w:lang w:val="en-GB"/>
        </w:rPr>
        <w:t xml:space="preserve"> </w:t>
      </w:r>
      <w:r w:rsidR="009441AD" w:rsidRPr="009441AD">
        <w:rPr>
          <w:bCs/>
          <w:lang w:val="en-GB"/>
        </w:rPr>
        <w:t>that some of the reported racially motivated crimes remain</w:t>
      </w:r>
      <w:r w:rsidR="00445679">
        <w:rPr>
          <w:bCs/>
          <w:lang w:val="en-GB"/>
        </w:rPr>
        <w:t>ed</w:t>
      </w:r>
      <w:r w:rsidR="009441AD" w:rsidRPr="009441AD">
        <w:rPr>
          <w:bCs/>
          <w:lang w:val="en-GB"/>
        </w:rPr>
        <w:t xml:space="preserve"> unregistered and not investigated as such; </w:t>
      </w:r>
      <w:r w:rsidR="009441AD">
        <w:rPr>
          <w:bCs/>
          <w:lang w:val="en-GB"/>
        </w:rPr>
        <w:t>t</w:t>
      </w:r>
      <w:r w:rsidR="009441AD" w:rsidRPr="009441AD">
        <w:rPr>
          <w:bCs/>
          <w:lang w:val="en-GB"/>
        </w:rPr>
        <w:t>hat the increased number of preparatory proceedings and indictments of perpetrators of racist crimes did not result in a significant increa</w:t>
      </w:r>
      <w:r w:rsidR="009441AD">
        <w:rPr>
          <w:bCs/>
          <w:lang w:val="en-GB"/>
        </w:rPr>
        <w:t>se in the number of convictions and a</w:t>
      </w:r>
      <w:r w:rsidR="009441AD" w:rsidRPr="009441AD">
        <w:rPr>
          <w:bCs/>
          <w:lang w:val="en-GB"/>
        </w:rPr>
        <w:t>bout the lack of detailed information on investigations and prosecutions of, and convictions for, rac</w:t>
      </w:r>
      <w:r w:rsidR="00AD14BD">
        <w:rPr>
          <w:bCs/>
          <w:lang w:val="en-GB"/>
        </w:rPr>
        <w:t xml:space="preserve">ist hate speech and hate crimes. </w:t>
      </w:r>
      <w:r w:rsidR="005A53B1" w:rsidRPr="005A53B1">
        <w:rPr>
          <w:lang w:val="en-US"/>
        </w:rPr>
        <w:t>The Committee recommend</w:t>
      </w:r>
      <w:r w:rsidR="005A53B1">
        <w:rPr>
          <w:lang w:val="en-US"/>
        </w:rPr>
        <w:t xml:space="preserve">ed that </w:t>
      </w:r>
      <w:r w:rsidR="00445679">
        <w:rPr>
          <w:lang w:val="en-US"/>
        </w:rPr>
        <w:t>Poland</w:t>
      </w:r>
      <w:r w:rsidR="005A53B1">
        <w:rPr>
          <w:lang w:val="en-US"/>
        </w:rPr>
        <w:t xml:space="preserve"> t</w:t>
      </w:r>
      <w:r w:rsidR="005A53B1" w:rsidRPr="005A53B1">
        <w:rPr>
          <w:lang w:val="en-US"/>
        </w:rPr>
        <w:t>ake measures to encourage and facilitate the reporting of hate speec</w:t>
      </w:r>
      <w:r w:rsidR="00E85BC4">
        <w:rPr>
          <w:lang w:val="en-US"/>
        </w:rPr>
        <w:t xml:space="preserve">h and hate crimes </w:t>
      </w:r>
      <w:r w:rsidR="005A53B1" w:rsidRPr="005A53B1">
        <w:rPr>
          <w:lang w:val="en-US"/>
        </w:rPr>
        <w:t xml:space="preserve">by ensuring the registration of all reported cases, effective investigations and prosecutions, and the imposition of appropriate penalties on perpetrators; </w:t>
      </w:r>
      <w:r w:rsidR="00152098">
        <w:rPr>
          <w:lang w:val="en-US"/>
        </w:rPr>
        <w:t>and also p</w:t>
      </w:r>
      <w:r w:rsidR="005A53B1" w:rsidRPr="005A53B1">
        <w:rPr>
          <w:lang w:val="en-US"/>
        </w:rPr>
        <w:t xml:space="preserve">rovide detailed information on investigations and prosecutions of, and convictions for, </w:t>
      </w:r>
      <w:r w:rsidR="00AD14BD">
        <w:rPr>
          <w:lang w:val="en-US"/>
        </w:rPr>
        <w:t xml:space="preserve">such </w:t>
      </w:r>
      <w:r w:rsidR="00E85BC4">
        <w:rPr>
          <w:lang w:val="en-US"/>
        </w:rPr>
        <w:t>crimes (</w:t>
      </w:r>
      <w:hyperlink r:id="rId26" w:history="1">
        <w:r w:rsidRPr="008F689A">
          <w:rPr>
            <w:rStyle w:val="Hyperlink"/>
            <w:lang w:val="en-US"/>
          </w:rPr>
          <w:t>CERD/C/POL/CO/22-24</w:t>
        </w:r>
      </w:hyperlink>
      <w:r>
        <w:rPr>
          <w:lang w:val="en-US"/>
        </w:rPr>
        <w:t xml:space="preserve">, para </w:t>
      </w:r>
      <w:r w:rsidR="00152098">
        <w:rPr>
          <w:lang w:val="en-US"/>
        </w:rPr>
        <w:t>19-</w:t>
      </w:r>
      <w:r>
        <w:rPr>
          <w:lang w:val="en-US"/>
        </w:rPr>
        <w:t>20)</w:t>
      </w:r>
      <w:r w:rsidRPr="00E70E81">
        <w:rPr>
          <w:lang w:val="en-US"/>
        </w:rPr>
        <w:t>.</w:t>
      </w:r>
    </w:p>
    <w:p w14:paraId="0C77CA9F" w14:textId="082C6081" w:rsidR="008C7A94" w:rsidRDefault="002430D2" w:rsidP="00A95DE7">
      <w:pPr>
        <w:jc w:val="both"/>
        <w:rPr>
          <w:rFonts w:cstheme="minorHAnsi"/>
          <w:lang w:val="en-GB"/>
        </w:rPr>
      </w:pPr>
      <w:r w:rsidRPr="00962913">
        <w:rPr>
          <w:i/>
          <w:lang w:val="en-US"/>
        </w:rPr>
        <w:t xml:space="preserve">Investigation of acts of torture </w:t>
      </w:r>
      <w:r w:rsidR="00E33076">
        <w:rPr>
          <w:lang w:val="en-US"/>
        </w:rPr>
        <w:t xml:space="preserve">- </w:t>
      </w:r>
      <w:r w:rsidRPr="002430D2">
        <w:rPr>
          <w:rFonts w:eastAsia="Calibri" w:cstheme="minorHAnsi"/>
          <w:lang w:val="en-GB"/>
        </w:rPr>
        <w:t xml:space="preserve">The </w:t>
      </w:r>
      <w:r w:rsidR="00E33076">
        <w:rPr>
          <w:rFonts w:eastAsia="Calibri" w:cstheme="minorHAnsi"/>
          <w:lang w:val="en-GB"/>
        </w:rPr>
        <w:t xml:space="preserve">UN </w:t>
      </w:r>
      <w:r w:rsidRPr="002430D2">
        <w:rPr>
          <w:rFonts w:eastAsia="Calibri" w:cstheme="minorHAnsi"/>
          <w:lang w:val="en-GB"/>
        </w:rPr>
        <w:t xml:space="preserve">Committee against Torture </w:t>
      </w:r>
      <w:r>
        <w:rPr>
          <w:rFonts w:eastAsia="Calibri" w:cstheme="minorHAnsi"/>
          <w:lang w:val="en-GB"/>
        </w:rPr>
        <w:t xml:space="preserve">in its </w:t>
      </w:r>
      <w:r w:rsidR="00DC5B32">
        <w:rPr>
          <w:rFonts w:eastAsia="Calibri" w:cstheme="minorHAnsi"/>
          <w:lang w:val="en-GB"/>
        </w:rPr>
        <w:t xml:space="preserve">2019 </w:t>
      </w:r>
      <w:r w:rsidR="00E33076">
        <w:rPr>
          <w:rFonts w:eastAsia="Calibri" w:cstheme="minorHAnsi"/>
          <w:lang w:val="en-GB"/>
        </w:rPr>
        <w:t>c</w:t>
      </w:r>
      <w:r w:rsidRPr="002430D2">
        <w:rPr>
          <w:rFonts w:eastAsia="Calibri" w:cstheme="minorHAnsi"/>
          <w:lang w:val="en-GB"/>
        </w:rPr>
        <w:t xml:space="preserve">oncluding observations </w:t>
      </w:r>
      <w:r w:rsidR="00A95DE7">
        <w:rPr>
          <w:rFonts w:eastAsia="Calibri" w:cstheme="minorHAnsi"/>
          <w:lang w:val="en-GB"/>
        </w:rPr>
        <w:t xml:space="preserve">urged </w:t>
      </w:r>
      <w:r w:rsidR="00E33076">
        <w:rPr>
          <w:rFonts w:eastAsia="Calibri" w:cstheme="minorHAnsi"/>
          <w:lang w:val="en-GB"/>
        </w:rPr>
        <w:t>Poland to</w:t>
      </w:r>
      <w:r w:rsidR="00A95DE7" w:rsidRPr="00A95DE7">
        <w:rPr>
          <w:rFonts w:eastAsia="Calibri" w:cstheme="minorHAnsi"/>
          <w:lang w:val="en-GB"/>
        </w:rPr>
        <w:t xml:space="preserve"> take effective measures to guarantee that all detained persons are afforded, in law </w:t>
      </w:r>
      <w:r w:rsidR="00A95DE7" w:rsidRPr="00A95DE7">
        <w:rPr>
          <w:rFonts w:eastAsia="Calibri" w:cstheme="minorHAnsi"/>
          <w:lang w:val="en-GB"/>
        </w:rPr>
        <w:lastRenderedPageBreak/>
        <w:t>and in practice, all fundamental legal safeguards from the very outset of their deprivation of liberty</w:t>
      </w:r>
      <w:r w:rsidR="003F19B1">
        <w:rPr>
          <w:rFonts w:eastAsia="Calibri" w:cstheme="minorHAnsi"/>
          <w:lang w:val="en-GB"/>
        </w:rPr>
        <w:t xml:space="preserve"> a</w:t>
      </w:r>
      <w:r w:rsidR="00A95DE7">
        <w:rPr>
          <w:rFonts w:eastAsia="Calibri" w:cstheme="minorHAnsi"/>
          <w:lang w:val="en-GB"/>
        </w:rPr>
        <w:t>nd ta</w:t>
      </w:r>
      <w:r w:rsidR="00A95DE7" w:rsidRPr="00A95DE7">
        <w:rPr>
          <w:rFonts w:eastAsia="Calibri" w:cstheme="minorHAnsi"/>
          <w:lang w:val="en-GB"/>
        </w:rPr>
        <w:t>ke effective steps to ensure that all detained persons have prompt access to legal assistance, including on-duty attorneys and legal advisers provided by State-funded legal aid, bef</w:t>
      </w:r>
      <w:r w:rsidR="00A95DE7">
        <w:rPr>
          <w:rFonts w:eastAsia="Calibri" w:cstheme="minorHAnsi"/>
          <w:lang w:val="en-GB"/>
        </w:rPr>
        <w:t>ore their initial interrogation.</w:t>
      </w:r>
      <w:r w:rsidR="00BF199A">
        <w:rPr>
          <w:rFonts w:cstheme="minorHAnsi"/>
          <w:lang w:val="en-GB"/>
        </w:rPr>
        <w:t xml:space="preserve"> </w:t>
      </w:r>
      <w:r w:rsidRPr="002430D2">
        <w:rPr>
          <w:rFonts w:eastAsia="Calibri" w:cstheme="minorHAnsi"/>
          <w:lang w:val="en-GB"/>
        </w:rPr>
        <w:t xml:space="preserve">The Committee </w:t>
      </w:r>
      <w:r>
        <w:rPr>
          <w:rFonts w:eastAsia="Calibri" w:cstheme="minorHAnsi"/>
          <w:lang w:val="en-GB"/>
        </w:rPr>
        <w:t>was concerned a</w:t>
      </w:r>
      <w:r w:rsidRPr="002430D2">
        <w:rPr>
          <w:rFonts w:eastAsia="Calibri" w:cstheme="minorHAnsi"/>
          <w:lang w:val="en-GB"/>
        </w:rPr>
        <w:t>bout the low number of conclusive prosecutions of alleged acts of torture of per</w:t>
      </w:r>
      <w:r w:rsidR="003F19B1">
        <w:rPr>
          <w:rFonts w:eastAsia="Calibri" w:cstheme="minorHAnsi"/>
          <w:lang w:val="en-GB"/>
        </w:rPr>
        <w:t xml:space="preserve">sons deprived of their liberty </w:t>
      </w:r>
      <w:r w:rsidRPr="002430D2">
        <w:rPr>
          <w:rFonts w:eastAsia="Calibri" w:cstheme="minorHAnsi"/>
          <w:lang w:val="en-GB"/>
        </w:rPr>
        <w:t>and about the discrepancy between the number of complaints submitted by victims of torture and ill-treatment and the number of sentences handed down, despite the issuance by the Prosecutor General of guidelines regarding crimes related to the deprivation of life or inhuman or degrading treatment and punishment where the perpetrator is a police o</w:t>
      </w:r>
      <w:r>
        <w:rPr>
          <w:rFonts w:eastAsia="Calibri" w:cstheme="minorHAnsi"/>
          <w:lang w:val="en-GB"/>
        </w:rPr>
        <w:t xml:space="preserve">fficer or other public official. The Committee also added that </w:t>
      </w:r>
      <w:r w:rsidRPr="002430D2">
        <w:rPr>
          <w:rFonts w:eastAsia="Calibri" w:cstheme="minorHAnsi"/>
          <w:lang w:val="en-GB"/>
        </w:rPr>
        <w:t xml:space="preserve">the merging of the functions of Minister of Justice and Prosecutor General </w:t>
      </w:r>
      <w:r w:rsidR="00E943EC" w:rsidRPr="002430D2">
        <w:rPr>
          <w:rFonts w:eastAsia="Calibri" w:cstheme="minorHAnsi"/>
          <w:lang w:val="en-GB"/>
        </w:rPr>
        <w:t>might</w:t>
      </w:r>
      <w:r w:rsidRPr="002430D2">
        <w:rPr>
          <w:rFonts w:eastAsia="Calibri" w:cstheme="minorHAnsi"/>
          <w:lang w:val="en-GB"/>
        </w:rPr>
        <w:t xml:space="preserve"> have a negative effect regarding investigations in</w:t>
      </w:r>
      <w:r w:rsidR="00E85BC4">
        <w:rPr>
          <w:rFonts w:eastAsia="Calibri" w:cstheme="minorHAnsi"/>
          <w:lang w:val="en-GB"/>
        </w:rPr>
        <w:t>to violations of the Convention (</w:t>
      </w:r>
      <w:hyperlink r:id="rId27" w:history="1">
        <w:r w:rsidRPr="008F689A">
          <w:rPr>
            <w:rStyle w:val="Hyperlink"/>
            <w:rFonts w:cstheme="minorHAnsi"/>
            <w:lang w:val="en-GB"/>
          </w:rPr>
          <w:t>CAT/C/POL/CO/7</w:t>
        </w:r>
      </w:hyperlink>
      <w:r>
        <w:rPr>
          <w:rFonts w:cstheme="minorHAnsi"/>
          <w:lang w:val="en-GB"/>
        </w:rPr>
        <w:t xml:space="preserve">, para </w:t>
      </w:r>
      <w:r w:rsidR="00B92E78">
        <w:rPr>
          <w:rFonts w:cstheme="minorHAnsi"/>
          <w:lang w:val="en-GB"/>
        </w:rPr>
        <w:t>16</w:t>
      </w:r>
      <w:r w:rsidR="00E33076">
        <w:rPr>
          <w:rFonts w:cstheme="minorHAnsi"/>
          <w:lang w:val="en-GB"/>
        </w:rPr>
        <w:t xml:space="preserve">, </w:t>
      </w:r>
      <w:r>
        <w:rPr>
          <w:rFonts w:cstheme="minorHAnsi"/>
          <w:lang w:val="en-GB"/>
        </w:rPr>
        <w:t>31</w:t>
      </w:r>
      <w:r w:rsidR="00C34944" w:rsidRPr="00C34944">
        <w:rPr>
          <w:rFonts w:cstheme="minorHAnsi"/>
          <w:lang w:val="en-GB"/>
        </w:rPr>
        <w:t>)</w:t>
      </w:r>
      <w:r w:rsidR="00B94426">
        <w:rPr>
          <w:rFonts w:cstheme="minorHAnsi"/>
          <w:lang w:val="en-GB"/>
        </w:rPr>
        <w:t>.</w:t>
      </w:r>
    </w:p>
    <w:bookmarkEnd w:id="0"/>
    <w:p w14:paraId="79AD8ACC" w14:textId="0B6AEAAE" w:rsidR="001B7CA2" w:rsidRPr="001B7CA2" w:rsidRDefault="001B7CA2" w:rsidP="001B7CA2">
      <w:pPr>
        <w:rPr>
          <w:lang w:val="en-GB"/>
        </w:rPr>
      </w:pPr>
      <w:r w:rsidRPr="001B7CA2">
        <w:rPr>
          <w:b/>
          <w:bCs/>
          <w:lang w:val="en-GB"/>
        </w:rPr>
        <w:t xml:space="preserve">II. Anti-corruption framework </w:t>
      </w:r>
    </w:p>
    <w:p w14:paraId="11B2B404" w14:textId="77777777" w:rsidR="001B7CA2" w:rsidRPr="001B7CA2" w:rsidRDefault="001B7CA2" w:rsidP="001B7CA2">
      <w:pPr>
        <w:rPr>
          <w:lang w:val="en-GB"/>
        </w:rPr>
      </w:pPr>
      <w:r w:rsidRPr="001B7CA2">
        <w:rPr>
          <w:b/>
          <w:bCs/>
          <w:i/>
          <w:iCs/>
          <w:lang w:val="en-GB"/>
        </w:rPr>
        <w:t xml:space="preserve">A. The institutional framework capacity to fight against corruption (prevention and investigation / prosecution) </w:t>
      </w:r>
    </w:p>
    <w:p w14:paraId="0FB0B354" w14:textId="77777777" w:rsidR="001B7CA2" w:rsidRPr="001B7CA2" w:rsidRDefault="001B7CA2" w:rsidP="001B7CA2">
      <w:pPr>
        <w:rPr>
          <w:lang w:val="en-GB"/>
        </w:rPr>
      </w:pPr>
      <w:r w:rsidRPr="001B7CA2">
        <w:rPr>
          <w:i/>
          <w:iCs/>
          <w:lang w:val="en-GB"/>
        </w:rPr>
        <w:t xml:space="preserve">18. List of relevant authorities (e.g. national agencies, bodies) in charge of prevention detection, investigation and prosecution of corruption. Please indicate the resources allocated to these (the human, financial, legal, and practical resources as relevant), e.g. in table format. </w:t>
      </w:r>
    </w:p>
    <w:p w14:paraId="08DC67FF" w14:textId="77777777" w:rsidR="001B7CA2" w:rsidRPr="001B7CA2" w:rsidRDefault="001B7CA2" w:rsidP="001B7CA2">
      <w:pPr>
        <w:rPr>
          <w:lang w:val="en-GB"/>
        </w:rPr>
      </w:pPr>
      <w:r w:rsidRPr="001B7CA2">
        <w:rPr>
          <w:b/>
          <w:bCs/>
          <w:i/>
          <w:iCs/>
          <w:lang w:val="en-GB"/>
        </w:rPr>
        <w:t xml:space="preserve">B. Prevention </w:t>
      </w:r>
    </w:p>
    <w:p w14:paraId="0A8E6A3F" w14:textId="77777777" w:rsidR="001B7CA2" w:rsidRPr="001B7CA2" w:rsidRDefault="001B7CA2" w:rsidP="001B7CA2">
      <w:pPr>
        <w:rPr>
          <w:lang w:val="en-GB"/>
        </w:rPr>
      </w:pPr>
      <w:r w:rsidRPr="001B7CA2">
        <w:rPr>
          <w:i/>
          <w:iCs/>
          <w:lang w:val="en-GB"/>
        </w:rPr>
        <w:t xml:space="preserve">19. Integrity framework including incompatibility rules (e.g.: revolving doors) </w:t>
      </w:r>
    </w:p>
    <w:p w14:paraId="148EA6BD" w14:textId="77777777" w:rsidR="001B7CA2" w:rsidRPr="001B7CA2" w:rsidRDefault="001B7CA2" w:rsidP="001B7CA2">
      <w:pPr>
        <w:rPr>
          <w:lang w:val="en-GB"/>
        </w:rPr>
      </w:pPr>
      <w:r w:rsidRPr="001B7CA2">
        <w:rPr>
          <w:i/>
          <w:iCs/>
          <w:lang w:val="en-GB"/>
        </w:rPr>
        <w:t xml:space="preserve">20. General transparency of public decision-making (including public access to information such as lobbying, asset disclosure rules and transparency of political party financing) </w:t>
      </w:r>
    </w:p>
    <w:p w14:paraId="3F9F6ED0" w14:textId="77777777" w:rsidR="001B7CA2" w:rsidRPr="001B7CA2" w:rsidRDefault="001B7CA2" w:rsidP="001B7CA2">
      <w:pPr>
        <w:rPr>
          <w:lang w:val="en-GB"/>
        </w:rPr>
      </w:pPr>
      <w:r w:rsidRPr="001B7CA2">
        <w:rPr>
          <w:i/>
          <w:iCs/>
          <w:lang w:val="en-GB"/>
        </w:rPr>
        <w:t xml:space="preserve">21. Rules on preventing conflict of interests in the public sector </w:t>
      </w:r>
    </w:p>
    <w:p w14:paraId="626AE658" w14:textId="77777777" w:rsidR="001B7CA2" w:rsidRPr="001B7CA2" w:rsidRDefault="001B7CA2" w:rsidP="001B7CA2">
      <w:pPr>
        <w:rPr>
          <w:lang w:val="en-GB"/>
        </w:rPr>
      </w:pPr>
      <w:r w:rsidRPr="001B7CA2">
        <w:rPr>
          <w:i/>
          <w:iCs/>
          <w:lang w:val="en-GB"/>
        </w:rPr>
        <w:t xml:space="preserve">22. Measures in place to ensure whistleblower protection and encourage reporting of corruption </w:t>
      </w:r>
    </w:p>
    <w:p w14:paraId="3A13B46E" w14:textId="77777777" w:rsidR="001B7CA2" w:rsidRPr="001B7CA2" w:rsidRDefault="001B7CA2" w:rsidP="001B7CA2">
      <w:pPr>
        <w:rPr>
          <w:lang w:val="en-GB"/>
        </w:rPr>
      </w:pPr>
      <w:r w:rsidRPr="001B7CA2">
        <w:rPr>
          <w:i/>
          <w:iCs/>
          <w:lang w:val="en-GB"/>
        </w:rPr>
        <w:t xml:space="preserve">23. List the sectors with high-risks of corruption in your Member State and list the relevant measures taken/envisaged for preventing corruption and conflict of interest in these sectors. (e.g. public procurement, healthcare, other). </w:t>
      </w:r>
    </w:p>
    <w:p w14:paraId="20FDC079" w14:textId="77777777" w:rsidR="001B7CA2" w:rsidRPr="001B7CA2" w:rsidRDefault="001B7CA2" w:rsidP="001B7CA2">
      <w:pPr>
        <w:rPr>
          <w:lang w:val="en-GB"/>
        </w:rPr>
      </w:pPr>
      <w:r w:rsidRPr="001B7CA2">
        <w:rPr>
          <w:i/>
          <w:iCs/>
          <w:lang w:val="en-GB"/>
        </w:rPr>
        <w:t xml:space="preserve">24. Measures taken to address corruption risks in the context of the COVID-19 pandemic. </w:t>
      </w:r>
    </w:p>
    <w:p w14:paraId="41CD93A2" w14:textId="77777777" w:rsidR="001B7CA2" w:rsidRPr="001B7CA2" w:rsidRDefault="001B7CA2" w:rsidP="001B7CA2">
      <w:pPr>
        <w:rPr>
          <w:lang w:val="en-GB"/>
        </w:rPr>
      </w:pPr>
      <w:r w:rsidRPr="001B7CA2">
        <w:rPr>
          <w:i/>
          <w:iCs/>
          <w:lang w:val="en-GB"/>
        </w:rPr>
        <w:t xml:space="preserve">25. Any other relevant measures to prevent corruption in public and private sector </w:t>
      </w:r>
    </w:p>
    <w:p w14:paraId="06A5981B" w14:textId="77777777" w:rsidR="001B7CA2" w:rsidRPr="001B7CA2" w:rsidRDefault="001B7CA2" w:rsidP="001B7CA2">
      <w:pPr>
        <w:rPr>
          <w:lang w:val="en-GB"/>
        </w:rPr>
      </w:pPr>
      <w:r w:rsidRPr="001B7CA2">
        <w:rPr>
          <w:b/>
          <w:bCs/>
          <w:i/>
          <w:iCs/>
          <w:lang w:val="en-GB"/>
        </w:rPr>
        <w:t xml:space="preserve">C. Repressive measures </w:t>
      </w:r>
    </w:p>
    <w:p w14:paraId="19C8E6A7" w14:textId="77777777" w:rsidR="001B7CA2" w:rsidRPr="001B7CA2" w:rsidRDefault="001B7CA2" w:rsidP="001B7CA2">
      <w:pPr>
        <w:rPr>
          <w:lang w:val="en-GB"/>
        </w:rPr>
      </w:pPr>
      <w:r w:rsidRPr="001B7CA2">
        <w:rPr>
          <w:i/>
          <w:iCs/>
          <w:lang w:val="en-GB"/>
        </w:rPr>
        <w:t xml:space="preserve">26. Criminalisation of corruption and related offences </w:t>
      </w:r>
    </w:p>
    <w:p w14:paraId="4B4559E7" w14:textId="77777777" w:rsidR="001B7CA2" w:rsidRPr="001B7CA2" w:rsidRDefault="001B7CA2" w:rsidP="001B7CA2">
      <w:pPr>
        <w:rPr>
          <w:lang w:val="en-GB"/>
        </w:rPr>
      </w:pPr>
      <w:r w:rsidRPr="001B7CA2">
        <w:rPr>
          <w:i/>
          <w:iCs/>
          <w:lang w:val="en-GB"/>
        </w:rPr>
        <w:t xml:space="preserve">27. Data on investigation and application of sanctions for corruption offences (including for legal persons and high level and complex corruption cases) and their transparency, including as regards to the implementation of EU funds. </w:t>
      </w:r>
    </w:p>
    <w:p w14:paraId="3E96C677" w14:textId="77777777" w:rsidR="001B7CA2" w:rsidRPr="001B7CA2" w:rsidRDefault="001B7CA2" w:rsidP="001B7CA2">
      <w:pPr>
        <w:rPr>
          <w:lang w:val="en-GB"/>
        </w:rPr>
      </w:pPr>
      <w:r w:rsidRPr="001B7CA2">
        <w:rPr>
          <w:i/>
          <w:iCs/>
          <w:lang w:val="en-GB"/>
        </w:rPr>
        <w:t xml:space="preserve">28. Potential obstacles to investigation and prosecution of high-level and complex corruption cases (e.g. political immunity regulation) </w:t>
      </w:r>
    </w:p>
    <w:p w14:paraId="39488B03" w14:textId="77777777" w:rsidR="001B7CA2" w:rsidRPr="001B7CA2" w:rsidRDefault="001B7CA2" w:rsidP="001B7CA2">
      <w:pPr>
        <w:rPr>
          <w:lang w:val="en-GB"/>
        </w:rPr>
      </w:pPr>
      <w:r w:rsidRPr="001B7CA2">
        <w:rPr>
          <w:b/>
          <w:bCs/>
          <w:i/>
          <w:iCs/>
          <w:lang w:val="en-GB"/>
        </w:rPr>
        <w:t xml:space="preserve">Other – please specify </w:t>
      </w:r>
    </w:p>
    <w:p w14:paraId="2F09CC61" w14:textId="77777777" w:rsidR="001B7CA2" w:rsidRPr="001B7CA2" w:rsidRDefault="001B7CA2" w:rsidP="001B7CA2">
      <w:pPr>
        <w:rPr>
          <w:lang w:val="en-GB"/>
        </w:rPr>
      </w:pPr>
      <w:r w:rsidRPr="001B7CA2">
        <w:rPr>
          <w:b/>
          <w:bCs/>
          <w:lang w:val="en-GB"/>
        </w:rPr>
        <w:t xml:space="preserve">III. Media pluralism </w:t>
      </w:r>
    </w:p>
    <w:p w14:paraId="25F27A5C" w14:textId="77777777" w:rsidR="001B7CA2" w:rsidRPr="001B7CA2" w:rsidRDefault="001B7CA2" w:rsidP="001B7CA2">
      <w:pPr>
        <w:rPr>
          <w:lang w:val="en-GB"/>
        </w:rPr>
      </w:pPr>
      <w:r w:rsidRPr="001B7CA2">
        <w:rPr>
          <w:b/>
          <w:bCs/>
          <w:i/>
          <w:iCs/>
          <w:lang w:val="en-GB"/>
        </w:rPr>
        <w:t xml:space="preserve">A. Media authorities and bodies </w:t>
      </w:r>
    </w:p>
    <w:p w14:paraId="624CDC15" w14:textId="53564487" w:rsidR="001B7CA2" w:rsidRDefault="001B7CA2" w:rsidP="001B7CA2">
      <w:pPr>
        <w:rPr>
          <w:i/>
          <w:iCs/>
          <w:lang w:val="en-GB"/>
        </w:rPr>
      </w:pPr>
      <w:r w:rsidRPr="001B7CA2">
        <w:rPr>
          <w:i/>
          <w:iCs/>
          <w:lang w:val="en-GB"/>
        </w:rPr>
        <w:lastRenderedPageBreak/>
        <w:t xml:space="preserve">29. Independence, enforcement powers and adequacy of resources of media regulatory authorities and bodies </w:t>
      </w:r>
    </w:p>
    <w:p w14:paraId="3B0CA85D" w14:textId="5E83D4C6" w:rsidR="00E33076" w:rsidRPr="009C6B9F" w:rsidRDefault="00E33076" w:rsidP="00E33076">
      <w:pPr>
        <w:pStyle w:val="CommentText"/>
        <w:jc w:val="both"/>
        <w:rPr>
          <w:sz w:val="22"/>
          <w:szCs w:val="22"/>
          <w:lang w:val="en-US"/>
        </w:rPr>
      </w:pPr>
      <w:r w:rsidRPr="00962913">
        <w:rPr>
          <w:iCs/>
          <w:sz w:val="22"/>
          <w:szCs w:val="22"/>
          <w:lang w:val="en-US"/>
        </w:rPr>
        <w:t>I</w:t>
      </w:r>
      <w:r w:rsidRPr="009C6B9F">
        <w:rPr>
          <w:iCs/>
          <w:sz w:val="22"/>
          <w:szCs w:val="22"/>
          <w:lang w:val="en-GB"/>
        </w:rPr>
        <w:t>n the 2020 report following h</w:t>
      </w:r>
      <w:r w:rsidR="000D06BF">
        <w:rPr>
          <w:iCs/>
          <w:sz w:val="22"/>
          <w:szCs w:val="22"/>
          <w:lang w:val="en-GB"/>
        </w:rPr>
        <w:t>er</w:t>
      </w:r>
      <w:r w:rsidRPr="009C6B9F">
        <w:rPr>
          <w:iCs/>
          <w:sz w:val="22"/>
          <w:szCs w:val="22"/>
          <w:lang w:val="en-GB"/>
        </w:rPr>
        <w:t xml:space="preserve"> visit to Poland, the UN Special Rapporteur in the field of cultural rights noted that legal safeguards for </w:t>
      </w:r>
      <w:r w:rsidRPr="00962913">
        <w:rPr>
          <w:sz w:val="22"/>
          <w:szCs w:val="22"/>
          <w:lang w:val="en-GB"/>
        </w:rPr>
        <w:t>diversity and pluralism in the media landscape</w:t>
      </w:r>
      <w:r w:rsidR="009C6B9F" w:rsidRPr="009C6B9F">
        <w:rPr>
          <w:sz w:val="22"/>
          <w:szCs w:val="22"/>
          <w:lang w:val="en-GB"/>
        </w:rPr>
        <w:t xml:space="preserve">, coherent with  international human rights law obligations, </w:t>
      </w:r>
      <w:r w:rsidRPr="00962913">
        <w:rPr>
          <w:sz w:val="22"/>
          <w:szCs w:val="22"/>
          <w:lang w:val="en-GB"/>
        </w:rPr>
        <w:t xml:space="preserve">had been undermined by </w:t>
      </w:r>
      <w:r w:rsidRPr="009C6B9F">
        <w:rPr>
          <w:sz w:val="22"/>
          <w:szCs w:val="22"/>
          <w:lang w:val="en-GB"/>
        </w:rPr>
        <w:t xml:space="preserve">legislative </w:t>
      </w:r>
      <w:r w:rsidRPr="00962913">
        <w:rPr>
          <w:sz w:val="22"/>
          <w:szCs w:val="22"/>
          <w:lang w:val="en-GB"/>
        </w:rPr>
        <w:t>amendments in 2015. Article 21 of the Broadcasting Act stipulates that public radio and television should be pluralistic, impartial, well balanced and independent. Article 2 of the Press Act clearly states that State bodies have an obligation to create the necessary conditions for a diversity of press outlets, programming, subjects and attitudes to be present and accessible in the public realm. However, in 2015, the laws amending the Broadcasting Act temporarily placed the power to appoint and dismiss the management and supervisory boards of the public service broadcasters in the hands of the Minister of State Treasury, which substantially eroded the inde</w:t>
      </w:r>
      <w:r w:rsidR="009C6B9F" w:rsidRPr="00962913">
        <w:rPr>
          <w:sz w:val="22"/>
          <w:szCs w:val="22"/>
          <w:lang w:val="en-GB"/>
        </w:rPr>
        <w:t>pendence of public broadcasters</w:t>
      </w:r>
      <w:r w:rsidRPr="00962913">
        <w:rPr>
          <w:sz w:val="22"/>
          <w:szCs w:val="22"/>
          <w:lang w:val="en-GB"/>
        </w:rPr>
        <w:t xml:space="preserve"> and led to a large wave of dismissals of public media staff, especially those working in management, editor</w:t>
      </w:r>
      <w:r w:rsidR="009C6B9F" w:rsidRPr="00962913">
        <w:rPr>
          <w:sz w:val="22"/>
          <w:szCs w:val="22"/>
          <w:lang w:val="en-GB"/>
        </w:rPr>
        <w:t>ial functions and foreign news.</w:t>
      </w:r>
      <w:r w:rsidRPr="00962913">
        <w:rPr>
          <w:sz w:val="22"/>
          <w:szCs w:val="22"/>
          <w:lang w:val="en-GB"/>
        </w:rPr>
        <w:t xml:space="preserve"> This trend of greater government control of the public media, </w:t>
      </w:r>
      <w:r w:rsidR="009C6B9F" w:rsidRPr="00962913">
        <w:rPr>
          <w:sz w:val="22"/>
          <w:szCs w:val="22"/>
          <w:lang w:val="en-GB"/>
        </w:rPr>
        <w:t xml:space="preserve">which was </w:t>
      </w:r>
      <w:r w:rsidRPr="00962913">
        <w:rPr>
          <w:sz w:val="22"/>
          <w:szCs w:val="22"/>
          <w:lang w:val="en-GB"/>
        </w:rPr>
        <w:t>contrary to constitutional and legislative dispositions, ha</w:t>
      </w:r>
      <w:r w:rsidR="009C6B9F" w:rsidRPr="009C6B9F">
        <w:rPr>
          <w:sz w:val="22"/>
          <w:szCs w:val="22"/>
          <w:lang w:val="en-GB"/>
        </w:rPr>
        <w:t>d</w:t>
      </w:r>
      <w:r w:rsidRPr="00962913">
        <w:rPr>
          <w:sz w:val="22"/>
          <w:szCs w:val="22"/>
          <w:lang w:val="en-GB"/>
        </w:rPr>
        <w:t xml:space="preserve"> been widely reported as problematic. </w:t>
      </w:r>
      <w:r w:rsidR="009C6B9F" w:rsidRPr="009C6B9F">
        <w:rPr>
          <w:sz w:val="22"/>
          <w:szCs w:val="22"/>
          <w:lang w:val="en-GB"/>
        </w:rPr>
        <w:t>The Special Rapporteur noted that t</w:t>
      </w:r>
      <w:r w:rsidRPr="00962913">
        <w:rPr>
          <w:sz w:val="22"/>
          <w:szCs w:val="22"/>
          <w:lang w:val="en-GB"/>
        </w:rPr>
        <w:t>he argument of the public media authorities th</w:t>
      </w:r>
      <w:r w:rsidR="009C6B9F" w:rsidRPr="00962913">
        <w:rPr>
          <w:sz w:val="22"/>
          <w:szCs w:val="22"/>
          <w:lang w:val="en-GB"/>
        </w:rPr>
        <w:t>at private media mainly presents</w:t>
      </w:r>
      <w:r w:rsidRPr="00962913">
        <w:rPr>
          <w:sz w:val="22"/>
          <w:szCs w:val="22"/>
          <w:lang w:val="en-GB"/>
        </w:rPr>
        <w:t xml:space="preserve"> other views than those of the Government </w:t>
      </w:r>
      <w:r w:rsidR="009C6B9F" w:rsidRPr="00962913">
        <w:rPr>
          <w:sz w:val="22"/>
          <w:szCs w:val="22"/>
          <w:lang w:val="en-GB"/>
        </w:rPr>
        <w:t>did</w:t>
      </w:r>
      <w:r w:rsidRPr="00962913">
        <w:rPr>
          <w:sz w:val="22"/>
          <w:szCs w:val="22"/>
          <w:lang w:val="en-GB"/>
        </w:rPr>
        <w:t xml:space="preserve"> not justify predominant coverage of the views of the ruling party in public media. It </w:t>
      </w:r>
      <w:r w:rsidR="009C6B9F" w:rsidRPr="00962913">
        <w:rPr>
          <w:sz w:val="22"/>
          <w:szCs w:val="22"/>
          <w:lang w:val="en-GB"/>
        </w:rPr>
        <w:t>was</w:t>
      </w:r>
      <w:r w:rsidRPr="00962913">
        <w:rPr>
          <w:sz w:val="22"/>
          <w:szCs w:val="22"/>
          <w:lang w:val="en-GB"/>
        </w:rPr>
        <w:t xml:space="preserve"> the responsibility of public media to ensure impartiality, to guard against political pressure and to provide space for a healthy, democratic debate accessible to all. In addition,</w:t>
      </w:r>
      <w:r w:rsidR="009C6B9F" w:rsidRPr="00962913">
        <w:rPr>
          <w:sz w:val="22"/>
          <w:szCs w:val="22"/>
          <w:lang w:val="en-GB"/>
        </w:rPr>
        <w:t xml:space="preserve"> the Special Rapporteur noted that</w:t>
      </w:r>
      <w:r w:rsidRPr="00962913">
        <w:rPr>
          <w:sz w:val="22"/>
          <w:szCs w:val="22"/>
          <w:lang w:val="en-GB"/>
        </w:rPr>
        <w:t xml:space="preserve"> proposed measures to limit the shares of foreign capital in the media landscape would disproportionately affect media outlets that are cri</w:t>
      </w:r>
      <w:r w:rsidR="009C6B9F" w:rsidRPr="00962913">
        <w:rPr>
          <w:sz w:val="22"/>
          <w:szCs w:val="22"/>
          <w:lang w:val="en-GB"/>
        </w:rPr>
        <w:t xml:space="preserve">tical of the current government. </w:t>
      </w:r>
      <w:r w:rsidRPr="009C6B9F">
        <w:rPr>
          <w:sz w:val="22"/>
          <w:szCs w:val="22"/>
          <w:lang w:val="en-GB"/>
        </w:rPr>
        <w:t>(</w:t>
      </w:r>
      <w:hyperlink r:id="rId28" w:history="1">
        <w:r w:rsidRPr="009C6B9F">
          <w:rPr>
            <w:rStyle w:val="Hyperlink"/>
            <w:sz w:val="22"/>
            <w:szCs w:val="22"/>
            <w:lang w:val="en-US"/>
          </w:rPr>
          <w:t>A/HRC/43/50/Add.1</w:t>
        </w:r>
      </w:hyperlink>
      <w:r w:rsidRPr="009C6B9F">
        <w:rPr>
          <w:sz w:val="22"/>
          <w:szCs w:val="22"/>
          <w:lang w:val="en-US"/>
        </w:rPr>
        <w:t>, para 28-30)</w:t>
      </w:r>
    </w:p>
    <w:p w14:paraId="2F8FD71F" w14:textId="77777777" w:rsidR="00E33076" w:rsidRPr="001B7CA2" w:rsidRDefault="00E33076" w:rsidP="001B7CA2">
      <w:pPr>
        <w:rPr>
          <w:lang w:val="en-GB"/>
        </w:rPr>
      </w:pPr>
    </w:p>
    <w:p w14:paraId="39A40877" w14:textId="77777777" w:rsidR="001B7CA2" w:rsidRPr="001B7CA2" w:rsidRDefault="001B7CA2" w:rsidP="001B7CA2">
      <w:pPr>
        <w:rPr>
          <w:lang w:val="en-GB"/>
        </w:rPr>
      </w:pPr>
      <w:r w:rsidRPr="001B7CA2">
        <w:rPr>
          <w:i/>
          <w:iCs/>
          <w:lang w:val="en-GB"/>
        </w:rPr>
        <w:t xml:space="preserve">30. Conditions and procedures for the appointment and dismissal of the head / members of the collegiate body of media regulatory authorities and bodies </w:t>
      </w:r>
    </w:p>
    <w:p w14:paraId="64E59A37" w14:textId="77777777" w:rsidR="001B7CA2" w:rsidRPr="001B7CA2" w:rsidRDefault="001B7CA2" w:rsidP="001B7CA2">
      <w:pPr>
        <w:rPr>
          <w:lang w:val="en-GB"/>
        </w:rPr>
      </w:pPr>
      <w:r w:rsidRPr="001B7CA2">
        <w:rPr>
          <w:i/>
          <w:iCs/>
          <w:lang w:val="en-GB"/>
        </w:rPr>
        <w:t xml:space="preserve">31. Existence and functions of media councils or other self-regulatory bodies </w:t>
      </w:r>
    </w:p>
    <w:p w14:paraId="575A19C7" w14:textId="77777777" w:rsidR="001B7CA2" w:rsidRPr="001B7CA2" w:rsidRDefault="001B7CA2" w:rsidP="001B7CA2">
      <w:pPr>
        <w:rPr>
          <w:lang w:val="en-GB"/>
        </w:rPr>
      </w:pPr>
      <w:r w:rsidRPr="001B7CA2">
        <w:rPr>
          <w:b/>
          <w:bCs/>
          <w:i/>
          <w:iCs/>
          <w:lang w:val="en-GB"/>
        </w:rPr>
        <w:t xml:space="preserve">B. Transparency of media ownership and government interference </w:t>
      </w:r>
    </w:p>
    <w:p w14:paraId="369BD36A" w14:textId="77777777" w:rsidR="001B7CA2" w:rsidRPr="001B7CA2" w:rsidRDefault="001B7CA2" w:rsidP="001B7CA2">
      <w:pPr>
        <w:rPr>
          <w:lang w:val="en-GB"/>
        </w:rPr>
      </w:pPr>
      <w:r w:rsidRPr="001B7CA2">
        <w:rPr>
          <w:i/>
          <w:iCs/>
          <w:lang w:val="en-GB"/>
        </w:rPr>
        <w:t xml:space="preserve">32. The transparent allocation of state advertising (including any rules regulating the matter); other safeguards against state / political interference </w:t>
      </w:r>
    </w:p>
    <w:p w14:paraId="130A6779" w14:textId="77777777" w:rsidR="001B7CA2" w:rsidRPr="001B7CA2" w:rsidRDefault="001B7CA2" w:rsidP="001B7CA2">
      <w:pPr>
        <w:rPr>
          <w:lang w:val="en-GB"/>
        </w:rPr>
      </w:pPr>
      <w:r w:rsidRPr="001B7CA2">
        <w:rPr>
          <w:i/>
          <w:iCs/>
          <w:lang w:val="en-GB"/>
        </w:rPr>
        <w:t xml:space="preserve">33. Rules governing transparency of media ownership and public availability of media ownership information </w:t>
      </w:r>
    </w:p>
    <w:p w14:paraId="113037E5" w14:textId="77777777" w:rsidR="001B7CA2" w:rsidRPr="001B7CA2" w:rsidRDefault="001B7CA2" w:rsidP="001B7CA2">
      <w:pPr>
        <w:rPr>
          <w:lang w:val="en-GB"/>
        </w:rPr>
      </w:pPr>
      <w:r w:rsidRPr="001B7CA2">
        <w:rPr>
          <w:b/>
          <w:bCs/>
          <w:i/>
          <w:iCs/>
          <w:lang w:val="en-GB"/>
        </w:rPr>
        <w:t xml:space="preserve">C. Framework for journalists' protection </w:t>
      </w:r>
    </w:p>
    <w:p w14:paraId="01DD02BE" w14:textId="77777777" w:rsidR="001B7CA2" w:rsidRPr="001B7CA2" w:rsidRDefault="001B7CA2" w:rsidP="001B7CA2">
      <w:pPr>
        <w:rPr>
          <w:lang w:val="en-GB"/>
        </w:rPr>
      </w:pPr>
      <w:r w:rsidRPr="001B7CA2">
        <w:rPr>
          <w:i/>
          <w:iCs/>
          <w:lang w:val="en-GB"/>
        </w:rPr>
        <w:t xml:space="preserve">34. Rules and practices guaranteeing journalist's independence and safety </w:t>
      </w:r>
    </w:p>
    <w:p w14:paraId="16BEEF7E" w14:textId="77777777" w:rsidR="001B7CA2" w:rsidRPr="001B7CA2" w:rsidRDefault="001B7CA2" w:rsidP="001B7CA2">
      <w:pPr>
        <w:rPr>
          <w:lang w:val="en-GB"/>
        </w:rPr>
      </w:pPr>
      <w:r w:rsidRPr="001B7CA2">
        <w:rPr>
          <w:i/>
          <w:iCs/>
          <w:lang w:val="en-GB"/>
        </w:rPr>
        <w:t xml:space="preserve">35. Law enforcement capacity to ensure journalists' safety and to investigate attacks on journalists </w:t>
      </w:r>
    </w:p>
    <w:p w14:paraId="35F67EA8" w14:textId="77777777" w:rsidR="001B7CA2" w:rsidRPr="001B7CA2" w:rsidRDefault="001B7CA2" w:rsidP="001B7CA2">
      <w:pPr>
        <w:rPr>
          <w:lang w:val="en-GB"/>
        </w:rPr>
      </w:pPr>
      <w:r w:rsidRPr="001B7CA2">
        <w:rPr>
          <w:i/>
          <w:iCs/>
          <w:lang w:val="en-GB"/>
        </w:rPr>
        <w:t xml:space="preserve">36. Access to information and public documents </w:t>
      </w:r>
    </w:p>
    <w:p w14:paraId="4C65C142" w14:textId="77777777" w:rsidR="001B7CA2" w:rsidRPr="001B7CA2" w:rsidRDefault="001B7CA2" w:rsidP="001B7CA2">
      <w:pPr>
        <w:rPr>
          <w:lang w:val="en-GB"/>
        </w:rPr>
      </w:pPr>
      <w:r w:rsidRPr="001B7CA2">
        <w:rPr>
          <w:i/>
          <w:iCs/>
          <w:lang w:val="en-GB"/>
        </w:rPr>
        <w:t xml:space="preserve">37. Lawsuits and convictions against journalists (incl. defamation cases) and safeguards against abuse </w:t>
      </w:r>
    </w:p>
    <w:p w14:paraId="76B3CCBA" w14:textId="77777777" w:rsidR="001B7CA2" w:rsidRPr="001B7CA2" w:rsidRDefault="001B7CA2" w:rsidP="001B7CA2">
      <w:pPr>
        <w:rPr>
          <w:lang w:val="en-GB"/>
        </w:rPr>
      </w:pPr>
      <w:r w:rsidRPr="001B7CA2">
        <w:rPr>
          <w:b/>
          <w:bCs/>
          <w:i/>
          <w:iCs/>
          <w:lang w:val="en-GB"/>
        </w:rPr>
        <w:t xml:space="preserve">Other – please specify </w:t>
      </w:r>
    </w:p>
    <w:p w14:paraId="6AC1EDE9" w14:textId="77777777" w:rsidR="001B7CA2" w:rsidRPr="001B7CA2" w:rsidRDefault="001B7CA2" w:rsidP="001B7CA2">
      <w:pPr>
        <w:rPr>
          <w:lang w:val="en-GB"/>
        </w:rPr>
      </w:pPr>
      <w:r w:rsidRPr="001B7CA2">
        <w:rPr>
          <w:b/>
          <w:bCs/>
          <w:lang w:val="en-GB"/>
        </w:rPr>
        <w:t xml:space="preserve">IV. Other institutional issues related to checks and balances </w:t>
      </w:r>
    </w:p>
    <w:p w14:paraId="2CD0E4AE" w14:textId="77777777" w:rsidR="001B7CA2" w:rsidRPr="001B7CA2" w:rsidRDefault="001B7CA2" w:rsidP="001B7CA2">
      <w:pPr>
        <w:rPr>
          <w:lang w:val="en-GB"/>
        </w:rPr>
      </w:pPr>
      <w:r w:rsidRPr="001B7CA2">
        <w:rPr>
          <w:b/>
          <w:bCs/>
          <w:i/>
          <w:iCs/>
          <w:lang w:val="en-GB"/>
        </w:rPr>
        <w:t xml:space="preserve">A. The process for preparing and enacting laws </w:t>
      </w:r>
    </w:p>
    <w:p w14:paraId="64E1A34D" w14:textId="7441C4DA" w:rsidR="001B7CA2" w:rsidRDefault="001B7CA2" w:rsidP="001B7CA2">
      <w:pPr>
        <w:rPr>
          <w:i/>
          <w:iCs/>
          <w:lang w:val="en-GB"/>
        </w:rPr>
      </w:pPr>
      <w:r w:rsidRPr="001B7CA2">
        <w:rPr>
          <w:i/>
          <w:iCs/>
          <w:lang w:val="en-GB"/>
        </w:rPr>
        <w:lastRenderedPageBreak/>
        <w:t xml:space="preserve">38. Framework, policy and use of impact assessments, stakeholders'/public consultations (particularly consultation of judiciary on judicial reforms), and transparency and quality of the legislative process </w:t>
      </w:r>
    </w:p>
    <w:p w14:paraId="3302B1E2" w14:textId="5EFC89EC" w:rsidR="00DC04CC" w:rsidRDefault="00DF181A" w:rsidP="00962913">
      <w:pPr>
        <w:jc w:val="both"/>
        <w:rPr>
          <w:rStyle w:val="Hyperlink"/>
          <w:lang w:val="en-GB"/>
        </w:rPr>
      </w:pPr>
      <w:r w:rsidRPr="003843E1">
        <w:rPr>
          <w:lang w:val="en-GB"/>
        </w:rPr>
        <w:t xml:space="preserve">In 2019, during </w:t>
      </w:r>
      <w:r w:rsidR="003843E1" w:rsidRPr="00962913">
        <w:rPr>
          <w:lang w:val="en-GB"/>
        </w:rPr>
        <w:t>a</w:t>
      </w:r>
      <w:r w:rsidRPr="003843E1">
        <w:rPr>
          <w:lang w:val="en-GB"/>
        </w:rPr>
        <w:t xml:space="preserve"> press briefing on Poland</w:t>
      </w:r>
      <w:r w:rsidR="000D06BF">
        <w:rPr>
          <w:lang w:val="en-GB"/>
        </w:rPr>
        <w:t>,</w:t>
      </w:r>
      <w:r w:rsidRPr="003843E1">
        <w:rPr>
          <w:lang w:val="en-GB"/>
        </w:rPr>
        <w:t xml:space="preserve"> the </w:t>
      </w:r>
      <w:r w:rsidRPr="007F1F30">
        <w:rPr>
          <w:lang w:val="en-GB"/>
        </w:rPr>
        <w:t>Spokesperson for the UN High Commissioner fo</w:t>
      </w:r>
      <w:r w:rsidRPr="00A118BB">
        <w:rPr>
          <w:lang w:val="en-GB"/>
        </w:rPr>
        <w:t xml:space="preserve">r Human Rights urged </w:t>
      </w:r>
      <w:r w:rsidRPr="0079724B">
        <w:rPr>
          <w:lang w:val="en-GB"/>
        </w:rPr>
        <w:t>the Polish Government and the members of the Parliament (Sejm) to consider carefully the potential impact of the draft legislation on the rule of la</w:t>
      </w:r>
      <w:r w:rsidR="00DC04CC" w:rsidRPr="0079724B">
        <w:rPr>
          <w:lang w:val="en-GB"/>
        </w:rPr>
        <w:t>w</w:t>
      </w:r>
      <w:r w:rsidR="003843E1" w:rsidRPr="00962913">
        <w:rPr>
          <w:lang w:val="en-GB"/>
        </w:rPr>
        <w:t xml:space="preserve"> submitted on 12 December 2019</w:t>
      </w:r>
      <w:r w:rsidR="009C6B9F">
        <w:rPr>
          <w:lang w:val="en-GB"/>
        </w:rPr>
        <w:t xml:space="preserve">. It was noted that some </w:t>
      </w:r>
      <w:r w:rsidRPr="007F529E">
        <w:rPr>
          <w:lang w:val="en-GB"/>
        </w:rPr>
        <w:t>amendments, proposed by the ruling party, were apparently provided to the draft law overnight</w:t>
      </w:r>
      <w:r w:rsidR="009C6B9F">
        <w:rPr>
          <w:lang w:val="en-GB"/>
        </w:rPr>
        <w:t xml:space="preserve">. </w:t>
      </w:r>
      <w:r w:rsidR="008F689A" w:rsidRPr="0079724B">
        <w:rPr>
          <w:lang w:val="en-GB"/>
        </w:rPr>
        <w:t xml:space="preserve"> </w:t>
      </w:r>
      <w:r w:rsidR="009C6B9F">
        <w:rPr>
          <w:lang w:val="en-GB"/>
        </w:rPr>
        <w:t>(</w:t>
      </w:r>
      <w:hyperlink r:id="rId29" w:history="1">
        <w:r w:rsidR="00DC04CC" w:rsidRPr="003843E1">
          <w:rPr>
            <w:rStyle w:val="Hyperlink"/>
            <w:lang w:val="en-GB"/>
          </w:rPr>
          <w:t>https://www.ohchr.org/EN/NewsEvents/Pages/DisplayNews.aspx?NewsID=25447&amp;LangID=E</w:t>
        </w:r>
      </w:hyperlink>
      <w:r w:rsidR="009C6B9F">
        <w:rPr>
          <w:rStyle w:val="Hyperlink"/>
          <w:lang w:val="en-GB"/>
        </w:rPr>
        <w:t>)</w:t>
      </w:r>
    </w:p>
    <w:p w14:paraId="5B605D1E" w14:textId="515A2C25" w:rsidR="00F464F2" w:rsidRPr="00231F28" w:rsidRDefault="008B50CB" w:rsidP="00F464F2">
      <w:pPr>
        <w:pStyle w:val="CommentText"/>
        <w:rPr>
          <w:lang w:val="en-GB"/>
        </w:rPr>
      </w:pPr>
      <w:r w:rsidRPr="008B50CB">
        <w:rPr>
          <w:iCs/>
          <w:sz w:val="22"/>
          <w:szCs w:val="22"/>
          <w:lang w:val="en-US"/>
        </w:rPr>
        <w:t>I</w:t>
      </w:r>
      <w:r w:rsidRPr="008B50CB">
        <w:rPr>
          <w:iCs/>
          <w:sz w:val="22"/>
          <w:szCs w:val="22"/>
          <w:lang w:val="en-GB"/>
        </w:rPr>
        <w:t>n the 2020 report following h</w:t>
      </w:r>
      <w:r w:rsidR="000D06BF">
        <w:rPr>
          <w:iCs/>
          <w:sz w:val="22"/>
          <w:szCs w:val="22"/>
          <w:lang w:val="en-GB"/>
        </w:rPr>
        <w:t>er</w:t>
      </w:r>
      <w:r w:rsidRPr="008B50CB">
        <w:rPr>
          <w:iCs/>
          <w:sz w:val="22"/>
          <w:szCs w:val="22"/>
          <w:lang w:val="en-GB"/>
        </w:rPr>
        <w:t xml:space="preserve"> visit to Poland, the UN Special Rapporteur in the field of cultural rights</w:t>
      </w:r>
      <w:r w:rsidRPr="008B50CB">
        <w:rPr>
          <w:sz w:val="22"/>
          <w:szCs w:val="22"/>
          <w:lang w:val="en-GB"/>
        </w:rPr>
        <w:t xml:space="preserve"> noted that article 9 of the Constitution requires Poland to respect international law binding upon it. In practice, more needed to be done to systematically and effectively implement such international standards. One particular area of difficulty was regular and transparent consultation with experts and civil society organizations on policy ideas, and the tendency to introduce and pass legislation rapidly, with little opportunity for debate or amendment. (</w:t>
      </w:r>
      <w:hyperlink r:id="rId30" w:history="1">
        <w:r w:rsidRPr="008B50CB">
          <w:rPr>
            <w:rStyle w:val="Hyperlink"/>
            <w:sz w:val="22"/>
            <w:szCs w:val="22"/>
            <w:lang w:val="en-US"/>
          </w:rPr>
          <w:t>A/HRC/43/50/Add.1</w:t>
        </w:r>
      </w:hyperlink>
      <w:r w:rsidRPr="008B50CB">
        <w:rPr>
          <w:sz w:val="22"/>
          <w:szCs w:val="22"/>
          <w:lang w:val="en-US"/>
        </w:rPr>
        <w:t>, para 8)</w:t>
      </w:r>
      <w:r w:rsidR="00F464F2" w:rsidRPr="00231F28">
        <w:rPr>
          <w:lang w:val="en-GB"/>
        </w:rPr>
        <w:t>.</w:t>
      </w:r>
    </w:p>
    <w:p w14:paraId="10C53D90" w14:textId="5E75946D" w:rsidR="008B50CB" w:rsidRPr="00962913" w:rsidRDefault="008B50CB" w:rsidP="008B50CB">
      <w:pPr>
        <w:pStyle w:val="CommentText"/>
        <w:jc w:val="both"/>
        <w:rPr>
          <w:sz w:val="22"/>
          <w:szCs w:val="22"/>
          <w:lang w:val="en-GB"/>
        </w:rPr>
      </w:pPr>
    </w:p>
    <w:p w14:paraId="6A0127E4" w14:textId="435D0CB1" w:rsidR="001B7CA2" w:rsidRDefault="001B7CA2" w:rsidP="001B7CA2">
      <w:pPr>
        <w:rPr>
          <w:i/>
          <w:iCs/>
          <w:lang w:val="en-GB"/>
        </w:rPr>
      </w:pPr>
      <w:r w:rsidRPr="001B7CA2">
        <w:rPr>
          <w:i/>
          <w:iCs/>
          <w:lang w:val="en-GB"/>
        </w:rPr>
        <w:t xml:space="preserve">39. Rules and use of fast-track procedures and emergency procedures (for example, the percentage of decisions adopted through emergency/urgent procedure compared to the total number of adopted decisions) </w:t>
      </w:r>
    </w:p>
    <w:p w14:paraId="529FAD71" w14:textId="77777777" w:rsidR="001B7CA2" w:rsidRPr="001B7CA2" w:rsidRDefault="001B7CA2" w:rsidP="001B7CA2">
      <w:pPr>
        <w:rPr>
          <w:lang w:val="en-GB"/>
        </w:rPr>
      </w:pPr>
      <w:r w:rsidRPr="001B7CA2">
        <w:rPr>
          <w:i/>
          <w:iCs/>
          <w:lang w:val="en-GB"/>
        </w:rPr>
        <w:t xml:space="preserve">40. Regime for constitutional review of laws </w:t>
      </w:r>
    </w:p>
    <w:p w14:paraId="52CD9F57" w14:textId="77777777" w:rsidR="001B7CA2" w:rsidRPr="001B7CA2" w:rsidRDefault="001B7CA2" w:rsidP="001B7CA2">
      <w:pPr>
        <w:rPr>
          <w:lang w:val="en-GB"/>
        </w:rPr>
      </w:pPr>
      <w:r w:rsidRPr="001B7CA2">
        <w:rPr>
          <w:i/>
          <w:iCs/>
          <w:lang w:val="en-GB"/>
        </w:rPr>
        <w:t xml:space="preserve">41. COVID-19: provide update on significant developments with regard to emergency regimes in the context of the COVID-19 pandemic </w:t>
      </w:r>
    </w:p>
    <w:p w14:paraId="3566BDE6" w14:textId="77777777" w:rsidR="001B7CA2" w:rsidRPr="001B7CA2" w:rsidRDefault="001B7CA2" w:rsidP="001B7CA2">
      <w:pPr>
        <w:rPr>
          <w:lang w:val="en-GB"/>
        </w:rPr>
      </w:pPr>
      <w:r w:rsidRPr="001B7CA2">
        <w:rPr>
          <w:lang w:val="en-GB"/>
        </w:rPr>
        <w:t xml:space="preserve">- </w:t>
      </w:r>
      <w:r w:rsidRPr="001B7CA2">
        <w:rPr>
          <w:i/>
          <w:iCs/>
          <w:lang w:val="en-GB"/>
        </w:rPr>
        <w:t xml:space="preserve">judicial review (including constitutional review) of emergency regimes and measures in the context of COVID-19 pandemic </w:t>
      </w:r>
    </w:p>
    <w:p w14:paraId="418FEC9B" w14:textId="77777777" w:rsidR="001B7CA2" w:rsidRPr="001B7CA2" w:rsidRDefault="001B7CA2" w:rsidP="001B7CA2">
      <w:pPr>
        <w:rPr>
          <w:lang w:val="en-GB"/>
        </w:rPr>
      </w:pPr>
      <w:r w:rsidRPr="001B7CA2">
        <w:rPr>
          <w:lang w:val="en-GB"/>
        </w:rPr>
        <w:t xml:space="preserve">- </w:t>
      </w:r>
      <w:r w:rsidRPr="001B7CA2">
        <w:rPr>
          <w:i/>
          <w:iCs/>
          <w:lang w:val="en-GB"/>
        </w:rPr>
        <w:t xml:space="preserve">oversight by Parliament of emergency regimes and measures in the context of COVID-19 pandemic </w:t>
      </w:r>
    </w:p>
    <w:p w14:paraId="4974DE29" w14:textId="77777777" w:rsidR="001B7CA2" w:rsidRPr="001B7CA2" w:rsidRDefault="001B7CA2" w:rsidP="001B7CA2">
      <w:pPr>
        <w:rPr>
          <w:lang w:val="en-GB"/>
        </w:rPr>
      </w:pPr>
      <w:r w:rsidRPr="001B7CA2">
        <w:rPr>
          <w:lang w:val="en-GB"/>
        </w:rPr>
        <w:t xml:space="preserve">- </w:t>
      </w:r>
      <w:r w:rsidRPr="001B7CA2">
        <w:rPr>
          <w:i/>
          <w:iCs/>
          <w:lang w:val="en-GB"/>
        </w:rPr>
        <w:t xml:space="preserve">measures taken to ensure the continued activity of Parliament (including possible best practices) </w:t>
      </w:r>
    </w:p>
    <w:p w14:paraId="237B9B4B" w14:textId="77777777" w:rsidR="001B7CA2" w:rsidRPr="001B7CA2" w:rsidRDefault="001B7CA2" w:rsidP="001B7CA2">
      <w:pPr>
        <w:rPr>
          <w:lang w:val="en-GB"/>
        </w:rPr>
      </w:pPr>
      <w:r w:rsidRPr="001B7CA2">
        <w:rPr>
          <w:b/>
          <w:bCs/>
          <w:i/>
          <w:iCs/>
          <w:lang w:val="en-GB"/>
        </w:rPr>
        <w:t xml:space="preserve">B. Independent authorities </w:t>
      </w:r>
    </w:p>
    <w:p w14:paraId="25D40A66" w14:textId="74812C6A" w:rsidR="001B7CA2" w:rsidRDefault="001B7CA2" w:rsidP="001B7CA2">
      <w:pPr>
        <w:rPr>
          <w:i/>
          <w:iCs/>
          <w:lang w:val="en-GB"/>
        </w:rPr>
      </w:pPr>
      <w:r w:rsidRPr="001B7CA2">
        <w:rPr>
          <w:i/>
          <w:iCs/>
          <w:lang w:val="en-GB"/>
        </w:rPr>
        <w:t>42. Independence, capacity and powers of national human rights institutions (‘NHRIs’), of ombudsman institutions if different from NHRIs, of equality bodies if different from NHRIs and of supreme audit institutions</w:t>
      </w:r>
    </w:p>
    <w:p w14:paraId="0E9F4FE7" w14:textId="14BD60F6" w:rsidR="00491A44" w:rsidRPr="0064596A" w:rsidRDefault="00334386" w:rsidP="00491A44">
      <w:pPr>
        <w:jc w:val="both"/>
        <w:rPr>
          <w:rFonts w:cstheme="minorHAnsi"/>
          <w:b/>
          <w:lang w:val="en-GB"/>
        </w:rPr>
      </w:pPr>
      <w:r w:rsidRPr="00334386">
        <w:rPr>
          <w:lang w:val="en-GB"/>
        </w:rPr>
        <w:t>In its 2020 report following its visit to Poland, the UN Subcommittee on Prevention of Torture and Other Cruel, Inhuman or Degrading Treatment or Punishment</w:t>
      </w:r>
      <w:r w:rsidR="00ED7A10">
        <w:rPr>
          <w:lang w:val="en-GB"/>
        </w:rPr>
        <w:t xml:space="preserve"> (SPT)</w:t>
      </w:r>
      <w:r w:rsidRPr="00334386">
        <w:rPr>
          <w:lang w:val="en-GB"/>
        </w:rPr>
        <w:t xml:space="preserve"> noted the designation of the </w:t>
      </w:r>
      <w:r w:rsidR="000E58CC">
        <w:rPr>
          <w:lang w:val="en-GB"/>
        </w:rPr>
        <w:t xml:space="preserve">ombudsman </w:t>
      </w:r>
      <w:r w:rsidRPr="00334386">
        <w:rPr>
          <w:lang w:val="en-GB"/>
        </w:rPr>
        <w:t xml:space="preserve">office as </w:t>
      </w:r>
      <w:r w:rsidR="00ED7A10">
        <w:rPr>
          <w:lang w:val="en-GB"/>
        </w:rPr>
        <w:t>Poland</w:t>
      </w:r>
      <w:r w:rsidR="000D06BF">
        <w:rPr>
          <w:lang w:val="en-GB"/>
        </w:rPr>
        <w:t>’s</w:t>
      </w:r>
      <w:r w:rsidRPr="00334386">
        <w:rPr>
          <w:lang w:val="en-GB"/>
        </w:rPr>
        <w:t xml:space="preserve"> national preventive mechanism had not been followed by the allocation of</w:t>
      </w:r>
      <w:r w:rsidR="00ED7A10">
        <w:rPr>
          <w:lang w:val="en-GB"/>
        </w:rPr>
        <w:t xml:space="preserve"> </w:t>
      </w:r>
      <w:r w:rsidRPr="00334386">
        <w:rPr>
          <w:lang w:val="en-GB"/>
        </w:rPr>
        <w:t xml:space="preserve">appropriate additional resources </w:t>
      </w:r>
      <w:r w:rsidR="00ED7A10">
        <w:rPr>
          <w:lang w:val="en-GB"/>
        </w:rPr>
        <w:t>to fulfil t</w:t>
      </w:r>
      <w:r w:rsidRPr="00334386">
        <w:rPr>
          <w:lang w:val="en-GB"/>
        </w:rPr>
        <w:t xml:space="preserve">his additional mandate. </w:t>
      </w:r>
      <w:r w:rsidR="006F10BF">
        <w:rPr>
          <w:lang w:val="en-GB"/>
        </w:rPr>
        <w:t>It</w:t>
      </w:r>
      <w:r w:rsidRPr="00334386">
        <w:rPr>
          <w:lang w:val="en-GB"/>
        </w:rPr>
        <w:t xml:space="preserve"> </w:t>
      </w:r>
      <w:r w:rsidR="00ED7A10">
        <w:rPr>
          <w:lang w:val="en-GB"/>
        </w:rPr>
        <w:t>also</w:t>
      </w:r>
      <w:r w:rsidRPr="00334386">
        <w:rPr>
          <w:lang w:val="en-GB"/>
        </w:rPr>
        <w:t xml:space="preserve"> noted the mandate of the mechanism was not clearly separated from the rest of the </w:t>
      </w:r>
      <w:r w:rsidR="00ED7A10" w:rsidRPr="00334386">
        <w:rPr>
          <w:lang w:val="en-GB"/>
        </w:rPr>
        <w:t>ombuds</w:t>
      </w:r>
      <w:r w:rsidR="000E58CC">
        <w:rPr>
          <w:lang w:val="en-GB"/>
        </w:rPr>
        <w:t>ma</w:t>
      </w:r>
      <w:r w:rsidR="00ED7A10" w:rsidRPr="00334386">
        <w:rPr>
          <w:lang w:val="en-GB"/>
        </w:rPr>
        <w:t>n</w:t>
      </w:r>
      <w:r w:rsidR="00ED7A10">
        <w:rPr>
          <w:lang w:val="en-GB"/>
        </w:rPr>
        <w:t>’s</w:t>
      </w:r>
      <w:r w:rsidR="00ED7A10" w:rsidRPr="00334386">
        <w:rPr>
          <w:lang w:val="en-GB"/>
        </w:rPr>
        <w:t xml:space="preserve"> </w:t>
      </w:r>
      <w:r w:rsidRPr="00334386">
        <w:rPr>
          <w:lang w:val="en-GB"/>
        </w:rPr>
        <w:t>mandate and there were no explicit provisions in the mechanism legislati</w:t>
      </w:r>
      <w:r w:rsidR="00ED5335">
        <w:rPr>
          <w:lang w:val="en-GB"/>
        </w:rPr>
        <w:t xml:space="preserve">on regarding earmarked funding </w:t>
      </w:r>
      <w:r w:rsidR="000E58CC">
        <w:rPr>
          <w:lang w:val="en-GB"/>
        </w:rPr>
        <w:t>or</w:t>
      </w:r>
      <w:r w:rsidRPr="00334386">
        <w:rPr>
          <w:lang w:val="en-GB"/>
        </w:rPr>
        <w:t xml:space="preserve"> donations. The </w:t>
      </w:r>
      <w:r w:rsidR="00ED7A10">
        <w:rPr>
          <w:lang w:val="en-GB"/>
        </w:rPr>
        <w:t>SPT</w:t>
      </w:r>
      <w:r w:rsidRPr="00334386">
        <w:rPr>
          <w:lang w:val="en-GB"/>
        </w:rPr>
        <w:t xml:space="preserve"> made </w:t>
      </w:r>
      <w:r w:rsidR="000E58CC">
        <w:rPr>
          <w:lang w:val="en-GB"/>
        </w:rPr>
        <w:t>many</w:t>
      </w:r>
      <w:r w:rsidRPr="00334386">
        <w:rPr>
          <w:lang w:val="en-GB"/>
        </w:rPr>
        <w:t xml:space="preserve"> recommendations to strengthen the office’s human and financial resources</w:t>
      </w:r>
      <w:r w:rsidR="006F10BF">
        <w:rPr>
          <w:lang w:val="en-GB"/>
        </w:rPr>
        <w:t>,</w:t>
      </w:r>
      <w:r w:rsidRPr="00334386">
        <w:rPr>
          <w:lang w:val="en-GB"/>
        </w:rPr>
        <w:t xml:space="preserve"> mandate and vi</w:t>
      </w:r>
      <w:r w:rsidR="00ED5335">
        <w:rPr>
          <w:lang w:val="en-GB"/>
        </w:rPr>
        <w:t>si</w:t>
      </w:r>
      <w:r w:rsidRPr="00334386">
        <w:rPr>
          <w:lang w:val="en-GB"/>
        </w:rPr>
        <w:t>bility</w:t>
      </w:r>
      <w:r w:rsidR="000E58CC">
        <w:rPr>
          <w:lang w:val="en-GB"/>
        </w:rPr>
        <w:t xml:space="preserve"> </w:t>
      </w:r>
      <w:r w:rsidRPr="00334386">
        <w:rPr>
          <w:lang w:val="en-GB"/>
        </w:rPr>
        <w:t>(</w:t>
      </w:r>
      <w:hyperlink r:id="rId31" w:history="1">
        <w:r w:rsidRPr="00334386">
          <w:rPr>
            <w:rStyle w:val="Hyperlink"/>
            <w:lang w:val="en-US"/>
          </w:rPr>
          <w:t>CAT/OP/POL/RONPM/1</w:t>
        </w:r>
      </w:hyperlink>
      <w:r w:rsidR="006F10BF">
        <w:rPr>
          <w:lang w:val="en-US"/>
        </w:rPr>
        <w:t>,</w:t>
      </w:r>
      <w:r w:rsidRPr="00334386">
        <w:rPr>
          <w:lang w:val="en-US"/>
        </w:rPr>
        <w:t xml:space="preserve"> para 16-32)</w:t>
      </w:r>
      <w:r w:rsidR="00ED7A10">
        <w:rPr>
          <w:lang w:val="en-US"/>
        </w:rPr>
        <w:t>.</w:t>
      </w:r>
      <w:r w:rsidR="00491A44">
        <w:rPr>
          <w:lang w:val="en-US"/>
        </w:rPr>
        <w:t xml:space="preserve"> Similar concerns and recommendations </w:t>
      </w:r>
      <w:r w:rsidR="006F10BF">
        <w:rPr>
          <w:lang w:val="en-US"/>
        </w:rPr>
        <w:t>were</w:t>
      </w:r>
      <w:r w:rsidR="00491A44">
        <w:rPr>
          <w:lang w:val="en-US"/>
        </w:rPr>
        <w:t xml:space="preserve"> raised by the </w:t>
      </w:r>
      <w:r w:rsidR="00491A44" w:rsidRPr="00491A44">
        <w:rPr>
          <w:lang w:val="en-US"/>
        </w:rPr>
        <w:t xml:space="preserve">UN Committee against Torture </w:t>
      </w:r>
      <w:r w:rsidR="00491A44">
        <w:rPr>
          <w:lang w:val="en-US"/>
        </w:rPr>
        <w:t>i</w:t>
      </w:r>
      <w:r w:rsidR="00491A44" w:rsidRPr="00491A44">
        <w:rPr>
          <w:lang w:val="en-US"/>
        </w:rPr>
        <w:t>n i</w:t>
      </w:r>
      <w:r w:rsidR="00491A44">
        <w:rPr>
          <w:lang w:val="en-US"/>
        </w:rPr>
        <w:t xml:space="preserve">ts 2019 concluding observations. The Committee </w:t>
      </w:r>
      <w:r w:rsidR="006F10BF">
        <w:rPr>
          <w:lang w:val="en-US"/>
        </w:rPr>
        <w:t xml:space="preserve">was </w:t>
      </w:r>
      <w:r w:rsidR="00491A44">
        <w:rPr>
          <w:lang w:val="en-US"/>
        </w:rPr>
        <w:t xml:space="preserve">also </w:t>
      </w:r>
      <w:r w:rsidR="00491A44">
        <w:rPr>
          <w:iCs/>
          <w:lang w:val="en-GB"/>
        </w:rPr>
        <w:t>concern</w:t>
      </w:r>
      <w:r w:rsidR="006F10BF">
        <w:rPr>
          <w:iCs/>
          <w:lang w:val="en-GB"/>
        </w:rPr>
        <w:t>ed</w:t>
      </w:r>
      <w:r w:rsidR="00491A44">
        <w:rPr>
          <w:iCs/>
          <w:lang w:val="en-GB"/>
        </w:rPr>
        <w:t xml:space="preserve"> about p</w:t>
      </w:r>
      <w:r w:rsidR="00491A44" w:rsidRPr="009E48E9">
        <w:rPr>
          <w:iCs/>
          <w:lang w:val="en-GB"/>
        </w:rPr>
        <w:t xml:space="preserve">ersonal attacks against the </w:t>
      </w:r>
      <w:r w:rsidR="000D06BF">
        <w:rPr>
          <w:iCs/>
          <w:lang w:val="en-GB"/>
        </w:rPr>
        <w:t xml:space="preserve">Human Rights </w:t>
      </w:r>
      <w:r w:rsidR="00491A44" w:rsidRPr="009E48E9">
        <w:rPr>
          <w:iCs/>
          <w:lang w:val="en-GB"/>
        </w:rPr>
        <w:t>Commissioner</w:t>
      </w:r>
      <w:r w:rsidR="00491A44">
        <w:rPr>
          <w:iCs/>
          <w:lang w:val="en-GB"/>
        </w:rPr>
        <w:t xml:space="preserve"> in 2019, noting he had been </w:t>
      </w:r>
      <w:r w:rsidR="00491A44" w:rsidRPr="009E48E9">
        <w:rPr>
          <w:iCs/>
          <w:lang w:val="en-GB"/>
        </w:rPr>
        <w:t>called upon to resign by one of the Deputy Ministers of Justice</w:t>
      </w:r>
      <w:r w:rsidR="000D06BF">
        <w:rPr>
          <w:iCs/>
          <w:lang w:val="en-GB"/>
        </w:rPr>
        <w:t>,</w:t>
      </w:r>
      <w:r w:rsidR="00491A44" w:rsidRPr="009E48E9">
        <w:rPr>
          <w:iCs/>
          <w:lang w:val="en-GB"/>
        </w:rPr>
        <w:t xml:space="preserve"> potentially </w:t>
      </w:r>
      <w:r w:rsidR="00491A44">
        <w:rPr>
          <w:iCs/>
          <w:lang w:val="en-GB"/>
        </w:rPr>
        <w:t>as</w:t>
      </w:r>
      <w:r w:rsidR="00491A44" w:rsidRPr="009E48E9">
        <w:rPr>
          <w:iCs/>
          <w:lang w:val="en-GB"/>
        </w:rPr>
        <w:t xml:space="preserve"> reprisals </w:t>
      </w:r>
      <w:r w:rsidR="00491A44">
        <w:rPr>
          <w:iCs/>
          <w:lang w:val="en-GB"/>
        </w:rPr>
        <w:t xml:space="preserve">for engaging with the </w:t>
      </w:r>
      <w:r w:rsidR="00491A44" w:rsidRPr="009E48E9">
        <w:rPr>
          <w:iCs/>
          <w:lang w:val="en-GB"/>
        </w:rPr>
        <w:t>Committee</w:t>
      </w:r>
      <w:r w:rsidR="00DD51BC">
        <w:rPr>
          <w:iCs/>
          <w:lang w:val="en-GB"/>
        </w:rPr>
        <w:t xml:space="preserve"> (</w:t>
      </w:r>
      <w:hyperlink r:id="rId32" w:history="1">
        <w:r w:rsidR="00491A44" w:rsidRPr="008F689A">
          <w:rPr>
            <w:rStyle w:val="Hyperlink"/>
            <w:rFonts w:cstheme="minorHAnsi"/>
            <w:lang w:val="en-GB"/>
          </w:rPr>
          <w:t>CAT/C/POL/CO/7</w:t>
        </w:r>
      </w:hyperlink>
      <w:r w:rsidR="00491A44">
        <w:rPr>
          <w:rFonts w:cstheme="minorHAnsi"/>
          <w:lang w:val="en-GB"/>
        </w:rPr>
        <w:t>, para 23</w:t>
      </w:r>
      <w:r w:rsidR="000E58CC">
        <w:rPr>
          <w:rFonts w:cstheme="minorHAnsi"/>
          <w:lang w:val="en-GB"/>
        </w:rPr>
        <w:t xml:space="preserve">, </w:t>
      </w:r>
      <w:r w:rsidR="00491A44">
        <w:rPr>
          <w:rFonts w:cstheme="minorHAnsi"/>
          <w:lang w:val="en-GB"/>
        </w:rPr>
        <w:t>24)</w:t>
      </w:r>
      <w:r w:rsidR="00DD51BC">
        <w:rPr>
          <w:rFonts w:cstheme="minorHAnsi"/>
          <w:lang w:val="en-GB"/>
        </w:rPr>
        <w:t xml:space="preserve">. In </w:t>
      </w:r>
      <w:bookmarkStart w:id="1" w:name="OLE_LINK1"/>
      <w:bookmarkStart w:id="2" w:name="OLE_LINK2"/>
      <w:r w:rsidR="0064596A">
        <w:rPr>
          <w:rFonts w:cstheme="minorHAnsi"/>
          <w:lang w:val="en-GB"/>
        </w:rPr>
        <w:t xml:space="preserve">his 2019 </w:t>
      </w:r>
      <w:r w:rsidR="0064596A" w:rsidRPr="0064596A">
        <w:rPr>
          <w:rFonts w:cstheme="minorHAnsi"/>
          <w:lang w:val="en-GB"/>
        </w:rPr>
        <w:t>r</w:t>
      </w:r>
      <w:r w:rsidR="0064596A">
        <w:rPr>
          <w:rFonts w:cstheme="minorHAnsi"/>
          <w:lang w:val="en-GB"/>
        </w:rPr>
        <w:t>eport on c</w:t>
      </w:r>
      <w:r w:rsidR="0064596A" w:rsidRPr="0064596A">
        <w:rPr>
          <w:rFonts w:cstheme="minorHAnsi"/>
          <w:lang w:val="en-GB"/>
        </w:rPr>
        <w:t>ooperation with the United Nations, its representatives and mechanisms in the field of human rights</w:t>
      </w:r>
      <w:r w:rsidR="0064596A">
        <w:rPr>
          <w:rFonts w:cstheme="minorHAnsi"/>
          <w:bCs/>
          <w:lang w:val="en-GB"/>
        </w:rPr>
        <w:t xml:space="preserve"> </w:t>
      </w:r>
      <w:r w:rsidR="0064596A" w:rsidRPr="0064596A">
        <w:rPr>
          <w:rFonts w:cstheme="minorHAnsi"/>
          <w:lang w:val="en-GB"/>
        </w:rPr>
        <w:t xml:space="preserve">the </w:t>
      </w:r>
      <w:r w:rsidR="0064596A">
        <w:rPr>
          <w:rFonts w:cstheme="minorHAnsi"/>
          <w:lang w:val="en-GB"/>
        </w:rPr>
        <w:t xml:space="preserve">UN </w:t>
      </w:r>
      <w:r w:rsidR="0064596A" w:rsidRPr="0064596A">
        <w:rPr>
          <w:rFonts w:cstheme="minorHAnsi"/>
          <w:lang w:val="en-GB"/>
        </w:rPr>
        <w:t xml:space="preserve">Secretary-General </w:t>
      </w:r>
      <w:bookmarkEnd w:id="1"/>
      <w:bookmarkEnd w:id="2"/>
      <w:r w:rsidR="0064596A">
        <w:rPr>
          <w:rFonts w:cstheme="minorHAnsi"/>
          <w:lang w:val="en-GB"/>
        </w:rPr>
        <w:lastRenderedPageBreak/>
        <w:t xml:space="preserve">noted that </w:t>
      </w:r>
      <w:r w:rsidR="0064596A" w:rsidRPr="0064596A">
        <w:rPr>
          <w:rFonts w:cstheme="minorHAnsi"/>
          <w:lang w:val="en-GB"/>
        </w:rPr>
        <w:t>that the national human rights institution of Poland and th</w:t>
      </w:r>
      <w:r w:rsidR="0064596A">
        <w:rPr>
          <w:rFonts w:cstheme="minorHAnsi"/>
          <w:lang w:val="en-GB"/>
        </w:rPr>
        <w:t xml:space="preserve">e Commissioner on Human Rights </w:t>
      </w:r>
      <w:r w:rsidR="0064596A" w:rsidRPr="0064596A">
        <w:rPr>
          <w:rFonts w:cstheme="minorHAnsi"/>
          <w:lang w:val="en-GB"/>
        </w:rPr>
        <w:t>had been subject to acts of intimidation and reprisals</w:t>
      </w:r>
      <w:r w:rsidR="0064596A">
        <w:rPr>
          <w:rFonts w:cstheme="minorHAnsi"/>
          <w:lang w:val="en-GB"/>
        </w:rPr>
        <w:t xml:space="preserve"> (</w:t>
      </w:r>
      <w:hyperlink r:id="rId33" w:history="1">
        <w:r w:rsidR="0064596A" w:rsidRPr="0064596A">
          <w:rPr>
            <w:rStyle w:val="Hyperlink"/>
            <w:rFonts w:cstheme="minorHAnsi"/>
            <w:lang w:val="en-GB"/>
          </w:rPr>
          <w:t>A/HRC/42/30</w:t>
        </w:r>
      </w:hyperlink>
      <w:r w:rsidR="0064596A">
        <w:rPr>
          <w:rFonts w:cstheme="minorHAnsi"/>
          <w:lang w:val="en-GB"/>
        </w:rPr>
        <w:t>, para 72).</w:t>
      </w:r>
    </w:p>
    <w:p w14:paraId="180251C3" w14:textId="70F6DF16" w:rsidR="00C357C2" w:rsidRDefault="00C357C2" w:rsidP="00962913">
      <w:pPr>
        <w:jc w:val="both"/>
        <w:rPr>
          <w:lang w:val="en-US"/>
        </w:rPr>
      </w:pPr>
      <w:r w:rsidRPr="00B0564B">
        <w:rPr>
          <w:iCs/>
          <w:lang w:val="en-US"/>
        </w:rPr>
        <w:t>I</w:t>
      </w:r>
      <w:r w:rsidRPr="00B0564B">
        <w:rPr>
          <w:iCs/>
          <w:lang w:val="en-GB"/>
        </w:rPr>
        <w:t>n the 2020 report following h</w:t>
      </w:r>
      <w:r w:rsidR="000D06BF">
        <w:rPr>
          <w:iCs/>
          <w:lang w:val="en-GB"/>
        </w:rPr>
        <w:t>er</w:t>
      </w:r>
      <w:r w:rsidRPr="00B0564B">
        <w:rPr>
          <w:iCs/>
          <w:lang w:val="en-GB"/>
        </w:rPr>
        <w:t xml:space="preserve"> visit to Poland, the UN Special Rapporteur in the field of cultural rights </w:t>
      </w:r>
      <w:r>
        <w:rPr>
          <w:lang w:val="en-GB"/>
        </w:rPr>
        <w:t>expressed concern that,</w:t>
      </w:r>
      <w:r w:rsidRPr="00231F28">
        <w:rPr>
          <w:lang w:val="en-GB"/>
        </w:rPr>
        <w:t xml:space="preserve"> since 2015, the Commiss</w:t>
      </w:r>
      <w:r w:rsidR="002953FF">
        <w:rPr>
          <w:lang w:val="en-GB"/>
        </w:rPr>
        <w:t>ioner for Human Rights and his o</w:t>
      </w:r>
      <w:r w:rsidRPr="00231F28">
        <w:rPr>
          <w:lang w:val="en-GB"/>
        </w:rPr>
        <w:t xml:space="preserve">ffice </w:t>
      </w:r>
      <w:r>
        <w:rPr>
          <w:lang w:val="en-GB"/>
        </w:rPr>
        <w:t>had</w:t>
      </w:r>
      <w:r w:rsidRPr="00231F28">
        <w:rPr>
          <w:lang w:val="en-GB"/>
        </w:rPr>
        <w:t xml:space="preserve"> been facing increasing </w:t>
      </w:r>
      <w:r w:rsidR="002953FF">
        <w:rPr>
          <w:lang w:val="en-GB"/>
        </w:rPr>
        <w:t xml:space="preserve">governmental </w:t>
      </w:r>
      <w:r w:rsidRPr="00231F28">
        <w:rPr>
          <w:lang w:val="en-GB"/>
        </w:rPr>
        <w:t xml:space="preserve">pressure, including </w:t>
      </w:r>
      <w:r w:rsidR="002953FF">
        <w:rPr>
          <w:lang w:val="en-GB"/>
        </w:rPr>
        <w:t>through</w:t>
      </w:r>
      <w:r w:rsidRPr="00231F28">
        <w:rPr>
          <w:lang w:val="en-GB"/>
        </w:rPr>
        <w:t xml:space="preserve"> attempts to strip his immunity and impose budget cuts. </w:t>
      </w:r>
      <w:r w:rsidR="006F10BF">
        <w:rPr>
          <w:lang w:val="en-GB"/>
        </w:rPr>
        <w:t>The</w:t>
      </w:r>
      <w:r w:rsidR="000E58CC">
        <w:rPr>
          <w:lang w:val="en-GB"/>
        </w:rPr>
        <w:t xml:space="preserve"> pressure</w:t>
      </w:r>
      <w:r w:rsidR="002953FF">
        <w:rPr>
          <w:lang w:val="en-GB"/>
        </w:rPr>
        <w:t xml:space="preserve"> was unacceptable and</w:t>
      </w:r>
      <w:r w:rsidRPr="00231F28">
        <w:rPr>
          <w:lang w:val="en-GB"/>
        </w:rPr>
        <w:t xml:space="preserve"> </w:t>
      </w:r>
      <w:r w:rsidR="002953FF">
        <w:rPr>
          <w:lang w:val="en-GB"/>
        </w:rPr>
        <w:t>in</w:t>
      </w:r>
      <w:r w:rsidRPr="00231F28">
        <w:rPr>
          <w:lang w:val="en-GB"/>
        </w:rPr>
        <w:t xml:space="preserve">compatible with the </w:t>
      </w:r>
      <w:r>
        <w:rPr>
          <w:lang w:val="en-GB"/>
        </w:rPr>
        <w:t xml:space="preserve">Paris </w:t>
      </w:r>
      <w:r w:rsidR="00491A44">
        <w:rPr>
          <w:lang w:val="en-GB"/>
        </w:rPr>
        <w:t xml:space="preserve">and Venice </w:t>
      </w:r>
      <w:r>
        <w:rPr>
          <w:lang w:val="en-GB"/>
        </w:rPr>
        <w:t>P</w:t>
      </w:r>
      <w:r w:rsidR="002953FF">
        <w:rPr>
          <w:lang w:val="en-GB"/>
        </w:rPr>
        <w:t>rinciples</w:t>
      </w:r>
      <w:r>
        <w:rPr>
          <w:lang w:val="en-GB"/>
        </w:rPr>
        <w:t>. The Special Rapporteur called</w:t>
      </w:r>
      <w:r w:rsidRPr="00231F28">
        <w:rPr>
          <w:lang w:val="en-GB"/>
        </w:rPr>
        <w:t xml:space="preserve"> upon the authorities to respect the </w:t>
      </w:r>
      <w:r w:rsidR="006F10BF">
        <w:rPr>
          <w:lang w:val="en-GB"/>
        </w:rPr>
        <w:t xml:space="preserve">Commissioner’s </w:t>
      </w:r>
      <w:r w:rsidRPr="00231F28">
        <w:rPr>
          <w:lang w:val="en-GB"/>
        </w:rPr>
        <w:t xml:space="preserve">independence and to </w:t>
      </w:r>
      <w:r w:rsidR="000E58CC">
        <w:rPr>
          <w:lang w:val="en-GB"/>
        </w:rPr>
        <w:t xml:space="preserve">ensure the </w:t>
      </w:r>
      <w:r w:rsidRPr="00231F28">
        <w:rPr>
          <w:lang w:val="en-GB"/>
        </w:rPr>
        <w:t>institution</w:t>
      </w:r>
      <w:r w:rsidR="000E58CC">
        <w:rPr>
          <w:lang w:val="en-GB"/>
        </w:rPr>
        <w:t xml:space="preserve">’s ability </w:t>
      </w:r>
      <w:r w:rsidRPr="00231F28">
        <w:rPr>
          <w:lang w:val="en-GB"/>
        </w:rPr>
        <w:t>to effectively fulfil its mandate, including through more funding</w:t>
      </w:r>
      <w:r>
        <w:rPr>
          <w:lang w:val="en-GB"/>
        </w:rPr>
        <w:t xml:space="preserve">. The </w:t>
      </w:r>
      <w:r w:rsidR="006F10BF">
        <w:rPr>
          <w:lang w:val="en-GB"/>
        </w:rPr>
        <w:t>UN expert</w:t>
      </w:r>
      <w:r>
        <w:rPr>
          <w:lang w:val="en-GB"/>
        </w:rPr>
        <w:t xml:space="preserve"> saluted</w:t>
      </w:r>
      <w:r w:rsidRPr="00231F28">
        <w:rPr>
          <w:lang w:val="en-GB"/>
        </w:rPr>
        <w:t xml:space="preserve"> the vital work of</w:t>
      </w:r>
      <w:r w:rsidR="00DD51BC">
        <w:rPr>
          <w:lang w:val="en-GB"/>
        </w:rPr>
        <w:t xml:space="preserve"> the Commissioner and his staff </w:t>
      </w:r>
      <w:r w:rsidRPr="00B0564B">
        <w:rPr>
          <w:lang w:val="en-GB"/>
        </w:rPr>
        <w:t>(</w:t>
      </w:r>
      <w:hyperlink r:id="rId34" w:history="1">
        <w:r w:rsidRPr="00B0564B">
          <w:rPr>
            <w:rStyle w:val="Hyperlink"/>
            <w:lang w:val="en-US"/>
          </w:rPr>
          <w:t>A/HRC/43/50/Add.1</w:t>
        </w:r>
      </w:hyperlink>
      <w:r w:rsidRPr="00B0564B">
        <w:rPr>
          <w:lang w:val="en-US"/>
        </w:rPr>
        <w:t xml:space="preserve"> para </w:t>
      </w:r>
      <w:r>
        <w:rPr>
          <w:lang w:val="en-US"/>
        </w:rPr>
        <w:t>15</w:t>
      </w:r>
      <w:r w:rsidRPr="00B0564B">
        <w:rPr>
          <w:lang w:val="en-US"/>
        </w:rPr>
        <w:t>)</w:t>
      </w:r>
      <w:r w:rsidR="00DD51BC">
        <w:rPr>
          <w:lang w:val="en-US"/>
        </w:rPr>
        <w:t>.</w:t>
      </w:r>
    </w:p>
    <w:p w14:paraId="10A64B57" w14:textId="62C72738" w:rsidR="00B92E78" w:rsidRDefault="00334386" w:rsidP="00B92E78">
      <w:pPr>
        <w:jc w:val="both"/>
        <w:rPr>
          <w:lang w:val="en-US"/>
        </w:rPr>
      </w:pPr>
      <w:r>
        <w:rPr>
          <w:bCs/>
          <w:lang w:val="en-GB"/>
        </w:rPr>
        <w:t>In its 2019 concluding observations, the</w:t>
      </w:r>
      <w:r w:rsidR="00B92E78" w:rsidRPr="00CC6B37">
        <w:rPr>
          <w:bCs/>
          <w:lang w:val="en-GB"/>
        </w:rPr>
        <w:t xml:space="preserve"> UN Committee on the </w:t>
      </w:r>
      <w:r w:rsidR="00B92E78">
        <w:rPr>
          <w:bCs/>
          <w:lang w:val="en-GB"/>
        </w:rPr>
        <w:t xml:space="preserve">Elimination of </w:t>
      </w:r>
      <w:r w:rsidR="00B92E78" w:rsidRPr="00CC6B37">
        <w:rPr>
          <w:bCs/>
          <w:lang w:val="en-GB"/>
        </w:rPr>
        <w:t>R</w:t>
      </w:r>
      <w:r w:rsidR="006B2EEF">
        <w:rPr>
          <w:bCs/>
          <w:lang w:val="en-GB"/>
        </w:rPr>
        <w:t>acial Discrimination</w:t>
      </w:r>
      <w:r w:rsidR="00B92E78">
        <w:rPr>
          <w:bCs/>
          <w:lang w:val="en-GB"/>
        </w:rPr>
        <w:t xml:space="preserve"> </w:t>
      </w:r>
      <w:r w:rsidR="00D76481">
        <w:rPr>
          <w:bCs/>
          <w:lang w:val="en-GB"/>
        </w:rPr>
        <w:t>was</w:t>
      </w:r>
      <w:r w:rsidR="000E4D1E">
        <w:rPr>
          <w:bCs/>
          <w:lang w:val="en-GB"/>
        </w:rPr>
        <w:t xml:space="preserve"> concerned</w:t>
      </w:r>
      <w:r w:rsidR="000E4D1E" w:rsidRPr="000E4D1E">
        <w:rPr>
          <w:bCs/>
          <w:lang w:val="en-GB"/>
        </w:rPr>
        <w:t xml:space="preserve"> about </w:t>
      </w:r>
      <w:r w:rsidR="000E58CC">
        <w:rPr>
          <w:bCs/>
          <w:lang w:val="en-GB"/>
        </w:rPr>
        <w:t>the Commissioner’s</w:t>
      </w:r>
      <w:r w:rsidR="000E4D1E" w:rsidRPr="000E4D1E">
        <w:rPr>
          <w:bCs/>
          <w:lang w:val="en-GB"/>
        </w:rPr>
        <w:t xml:space="preserve"> insufficient human and financial resources, in particular </w:t>
      </w:r>
      <w:r w:rsidR="000E58CC">
        <w:rPr>
          <w:bCs/>
          <w:lang w:val="en-GB"/>
        </w:rPr>
        <w:t>for</w:t>
      </w:r>
      <w:r w:rsidR="000E4D1E" w:rsidRPr="000E4D1E">
        <w:rPr>
          <w:bCs/>
          <w:lang w:val="en-GB"/>
        </w:rPr>
        <w:t xml:space="preserve"> its </w:t>
      </w:r>
      <w:r w:rsidR="000E58CC" w:rsidRPr="000E4D1E">
        <w:rPr>
          <w:bCs/>
          <w:lang w:val="en-GB"/>
        </w:rPr>
        <w:t xml:space="preserve">Equal Treatment </w:t>
      </w:r>
      <w:r w:rsidR="000E4D1E" w:rsidRPr="000E4D1E">
        <w:rPr>
          <w:bCs/>
          <w:lang w:val="en-GB"/>
        </w:rPr>
        <w:t xml:space="preserve">Department. </w:t>
      </w:r>
      <w:r w:rsidR="00235A91">
        <w:rPr>
          <w:bCs/>
          <w:lang w:val="en-GB"/>
        </w:rPr>
        <w:t>Also,</w:t>
      </w:r>
      <w:r w:rsidR="000E4D1E" w:rsidRPr="000E4D1E">
        <w:rPr>
          <w:bCs/>
          <w:lang w:val="en-GB"/>
        </w:rPr>
        <w:t xml:space="preserve"> the Commissioner ha</w:t>
      </w:r>
      <w:r w:rsidR="00491A44">
        <w:rPr>
          <w:bCs/>
          <w:lang w:val="en-GB"/>
        </w:rPr>
        <w:t>d</w:t>
      </w:r>
      <w:r w:rsidR="000E4D1E" w:rsidRPr="000E4D1E">
        <w:rPr>
          <w:bCs/>
          <w:lang w:val="en-GB"/>
        </w:rPr>
        <w:t xml:space="preserve"> no statutory mandate to investigate </w:t>
      </w:r>
      <w:r w:rsidR="00491A44" w:rsidRPr="000E4D1E">
        <w:rPr>
          <w:bCs/>
          <w:lang w:val="en-GB"/>
        </w:rPr>
        <w:t xml:space="preserve">racial discrimination </w:t>
      </w:r>
      <w:r w:rsidR="000E4D1E" w:rsidRPr="000E4D1E">
        <w:rPr>
          <w:bCs/>
          <w:lang w:val="en-GB"/>
        </w:rPr>
        <w:t xml:space="preserve">complaints </w:t>
      </w:r>
      <w:r w:rsidR="000E58CC">
        <w:rPr>
          <w:bCs/>
          <w:lang w:val="en-GB"/>
        </w:rPr>
        <w:t>in</w:t>
      </w:r>
      <w:r w:rsidR="000E4D1E" w:rsidRPr="000E4D1E">
        <w:rPr>
          <w:bCs/>
          <w:lang w:val="en-GB"/>
        </w:rPr>
        <w:t xml:space="preserve"> the private sector.</w:t>
      </w:r>
      <w:r w:rsidR="000E4D1E">
        <w:rPr>
          <w:bCs/>
          <w:lang w:val="en-GB"/>
        </w:rPr>
        <w:t xml:space="preserve"> </w:t>
      </w:r>
      <w:r w:rsidR="00235A91">
        <w:rPr>
          <w:bCs/>
          <w:lang w:val="en-GB"/>
        </w:rPr>
        <w:t>The Committee</w:t>
      </w:r>
      <w:r w:rsidR="000E4D1E">
        <w:rPr>
          <w:bCs/>
          <w:lang w:val="en-GB"/>
        </w:rPr>
        <w:t xml:space="preserve"> </w:t>
      </w:r>
      <w:r w:rsidR="00B92E78">
        <w:rPr>
          <w:bCs/>
          <w:lang w:val="en-GB"/>
        </w:rPr>
        <w:t xml:space="preserve">recommended </w:t>
      </w:r>
      <w:r w:rsidR="00235A91">
        <w:rPr>
          <w:bCs/>
          <w:lang w:val="en-GB"/>
        </w:rPr>
        <w:t xml:space="preserve">to provide </w:t>
      </w:r>
      <w:r w:rsidR="00B92E78" w:rsidRPr="00B92E78">
        <w:rPr>
          <w:lang w:val="en-US"/>
        </w:rPr>
        <w:t>the human and financial resources necessary to fully discharge its mandates in an independent and impartial manner</w:t>
      </w:r>
      <w:r>
        <w:rPr>
          <w:lang w:val="en-US"/>
        </w:rPr>
        <w:t xml:space="preserve"> (</w:t>
      </w:r>
      <w:hyperlink r:id="rId35" w:history="1">
        <w:r w:rsidR="00B92E78" w:rsidRPr="008F689A">
          <w:rPr>
            <w:rStyle w:val="Hyperlink"/>
            <w:lang w:val="en-US"/>
          </w:rPr>
          <w:t>CERD/C/POL/CO/22-24</w:t>
        </w:r>
      </w:hyperlink>
      <w:r w:rsidR="00B92E78">
        <w:rPr>
          <w:lang w:val="en-US"/>
        </w:rPr>
        <w:t xml:space="preserve"> para </w:t>
      </w:r>
      <w:r w:rsidR="000E4D1E">
        <w:rPr>
          <w:lang w:val="en-US"/>
        </w:rPr>
        <w:t>9-</w:t>
      </w:r>
      <w:r w:rsidR="00B92E78">
        <w:rPr>
          <w:lang w:val="en-US"/>
        </w:rPr>
        <w:t>10)</w:t>
      </w:r>
      <w:r w:rsidR="00B92E78" w:rsidRPr="00E70E81">
        <w:rPr>
          <w:lang w:val="en-US"/>
        </w:rPr>
        <w:t>.</w:t>
      </w:r>
    </w:p>
    <w:p w14:paraId="08DD0A98" w14:textId="55945A5A" w:rsidR="00491A44" w:rsidRPr="00962913" w:rsidRDefault="00491A44" w:rsidP="00B92E78">
      <w:pPr>
        <w:jc w:val="both"/>
        <w:rPr>
          <w:rFonts w:cstheme="minorHAnsi"/>
          <w:lang w:val="en-US"/>
        </w:rPr>
      </w:pPr>
      <w:r w:rsidRPr="00962913">
        <w:rPr>
          <w:rFonts w:cstheme="minorHAnsi"/>
          <w:lang w:val="en-US"/>
        </w:rPr>
        <w:t>In 2019, several Special Procedures mandate-holders initiated a dialogue with Poland expressing serious concerns regarding the civil action brought</w:t>
      </w:r>
      <w:r w:rsidR="000E58CC">
        <w:rPr>
          <w:rFonts w:cstheme="minorHAnsi"/>
          <w:lang w:val="en-US"/>
        </w:rPr>
        <w:t xml:space="preserve"> by</w:t>
      </w:r>
      <w:r w:rsidRPr="00962913">
        <w:rPr>
          <w:rFonts w:cstheme="minorHAnsi"/>
          <w:lang w:val="en-US"/>
        </w:rPr>
        <w:t xml:space="preserve"> </w:t>
      </w:r>
      <w:r w:rsidR="00C21B69">
        <w:rPr>
          <w:rFonts w:cstheme="minorHAnsi"/>
          <w:lang w:val="en-US"/>
        </w:rPr>
        <w:t>Polish</w:t>
      </w:r>
      <w:r w:rsidRPr="00962913">
        <w:rPr>
          <w:rFonts w:cstheme="minorHAnsi"/>
          <w:lang w:val="en-US"/>
        </w:rPr>
        <w:t xml:space="preserve"> public </w:t>
      </w:r>
      <w:r w:rsidR="00C21B69">
        <w:rPr>
          <w:rFonts w:cstheme="minorHAnsi"/>
          <w:lang w:val="en-US"/>
        </w:rPr>
        <w:t xml:space="preserve">broadcaster </w:t>
      </w:r>
      <w:r w:rsidR="00C21B69" w:rsidRPr="00962913">
        <w:rPr>
          <w:rFonts w:cstheme="minorHAnsi"/>
          <w:lang w:val="en-US"/>
        </w:rPr>
        <w:t xml:space="preserve">TVP </w:t>
      </w:r>
      <w:r w:rsidRPr="00962913">
        <w:rPr>
          <w:rFonts w:cstheme="minorHAnsi"/>
          <w:lang w:val="en-US"/>
        </w:rPr>
        <w:t>against Mr Bodnar</w:t>
      </w:r>
      <w:r w:rsidR="000D06BF">
        <w:rPr>
          <w:rFonts w:cstheme="minorHAnsi"/>
          <w:lang w:val="en-US"/>
        </w:rPr>
        <w:t>,</w:t>
      </w:r>
      <w:r w:rsidRPr="00962913">
        <w:rPr>
          <w:rFonts w:cstheme="minorHAnsi"/>
          <w:lang w:val="en-US"/>
        </w:rPr>
        <w:t xml:space="preserve"> in his personal capacity, for statements made in his professional capacity as </w:t>
      </w:r>
      <w:r w:rsidR="000E58CC">
        <w:rPr>
          <w:rFonts w:cstheme="minorHAnsi"/>
          <w:lang w:val="en-US"/>
        </w:rPr>
        <w:t>Commissioner</w:t>
      </w:r>
      <w:r w:rsidR="00ED7A10">
        <w:rPr>
          <w:rFonts w:cstheme="minorHAnsi"/>
          <w:lang w:val="en-US"/>
        </w:rPr>
        <w:t xml:space="preserve"> </w:t>
      </w:r>
      <w:r w:rsidR="00C21B69" w:rsidRPr="00962913">
        <w:rPr>
          <w:rFonts w:cstheme="minorHAnsi"/>
          <w:lang w:val="en-US"/>
        </w:rPr>
        <w:t>(</w:t>
      </w:r>
      <w:hyperlink r:id="rId36" w:history="1">
        <w:r w:rsidR="00C21B69" w:rsidRPr="00962913">
          <w:rPr>
            <w:rStyle w:val="Hyperlink"/>
            <w:rFonts w:cstheme="minorHAnsi"/>
            <w:lang w:val="en-US"/>
          </w:rPr>
          <w:t>POL 1/2019</w:t>
        </w:r>
      </w:hyperlink>
      <w:r w:rsidR="00C21B69" w:rsidRPr="00962913">
        <w:rPr>
          <w:rFonts w:cstheme="minorHAnsi"/>
          <w:lang w:val="en-US"/>
        </w:rPr>
        <w:t>)</w:t>
      </w:r>
      <w:r w:rsidR="006F10BF">
        <w:rPr>
          <w:rFonts w:cstheme="minorHAnsi"/>
          <w:lang w:val="en-US"/>
        </w:rPr>
        <w:t>.</w:t>
      </w:r>
    </w:p>
    <w:p w14:paraId="18A50ABE" w14:textId="3B36FB97" w:rsidR="00A33884" w:rsidRDefault="00C21B69" w:rsidP="00962913">
      <w:pPr>
        <w:jc w:val="both"/>
        <w:rPr>
          <w:lang w:val="en-US"/>
        </w:rPr>
      </w:pPr>
      <w:r>
        <w:rPr>
          <w:iCs/>
          <w:lang w:val="en-GB"/>
        </w:rPr>
        <w:t>In its 2018 c</w:t>
      </w:r>
      <w:r w:rsidRPr="00AB39DD">
        <w:rPr>
          <w:iCs/>
          <w:lang w:val="en-GB"/>
        </w:rPr>
        <w:t>oncluding observations</w:t>
      </w:r>
      <w:r>
        <w:rPr>
          <w:iCs/>
          <w:lang w:val="en-GB"/>
        </w:rPr>
        <w:t>, t</w:t>
      </w:r>
      <w:r w:rsidR="00A33884">
        <w:rPr>
          <w:iCs/>
          <w:lang w:val="en-GB"/>
        </w:rPr>
        <w:t xml:space="preserve">he </w:t>
      </w:r>
      <w:r>
        <w:rPr>
          <w:iCs/>
          <w:lang w:val="en-GB"/>
        </w:rPr>
        <w:t xml:space="preserve">UN </w:t>
      </w:r>
      <w:r w:rsidR="00A33884" w:rsidRPr="00AB39DD">
        <w:rPr>
          <w:iCs/>
          <w:lang w:val="en-GB"/>
        </w:rPr>
        <w:t>Committee on the Rights of Persons with Disabilities</w:t>
      </w:r>
      <w:r w:rsidR="00A33884">
        <w:rPr>
          <w:iCs/>
          <w:lang w:val="en-GB"/>
        </w:rPr>
        <w:t xml:space="preserve"> </w:t>
      </w:r>
      <w:r w:rsidR="00A33884" w:rsidRPr="00E87A2E">
        <w:rPr>
          <w:iCs/>
          <w:lang w:val="en-GB"/>
        </w:rPr>
        <w:t>call</w:t>
      </w:r>
      <w:r w:rsidR="00D76481">
        <w:rPr>
          <w:iCs/>
          <w:lang w:val="en-GB"/>
        </w:rPr>
        <w:t>ed</w:t>
      </w:r>
      <w:r w:rsidR="00A33884" w:rsidRPr="00E87A2E">
        <w:rPr>
          <w:iCs/>
          <w:lang w:val="en-GB"/>
        </w:rPr>
        <w:t xml:space="preserve"> </w:t>
      </w:r>
      <w:r w:rsidR="000E58CC">
        <w:rPr>
          <w:iCs/>
          <w:lang w:val="en-GB"/>
        </w:rPr>
        <w:t>for</w:t>
      </w:r>
      <w:r w:rsidR="00ED7A10">
        <w:rPr>
          <w:iCs/>
          <w:lang w:val="en-GB"/>
        </w:rPr>
        <w:t xml:space="preserve"> </w:t>
      </w:r>
      <w:r w:rsidR="00ED7A10" w:rsidRPr="00A33884">
        <w:rPr>
          <w:iCs/>
          <w:lang w:val="en-GB"/>
        </w:rPr>
        <w:t>adequate legal bases and sufficient resources and funding</w:t>
      </w:r>
      <w:r w:rsidR="00ED7A10">
        <w:rPr>
          <w:iCs/>
          <w:lang w:val="en-GB"/>
        </w:rPr>
        <w:t xml:space="preserve"> to</w:t>
      </w:r>
      <w:r w:rsidR="00ED7A10" w:rsidRPr="00A33884">
        <w:rPr>
          <w:iCs/>
          <w:lang w:val="en-GB"/>
        </w:rPr>
        <w:t xml:space="preserve"> </w:t>
      </w:r>
      <w:r w:rsidR="00A33884" w:rsidRPr="00A33884">
        <w:rPr>
          <w:iCs/>
          <w:lang w:val="en-GB"/>
        </w:rPr>
        <w:t>the</w:t>
      </w:r>
      <w:r w:rsidR="000D06BF">
        <w:rPr>
          <w:iCs/>
          <w:lang w:val="en-GB"/>
        </w:rPr>
        <w:t xml:space="preserve"> Human Rights</w:t>
      </w:r>
      <w:r w:rsidR="00A33884" w:rsidRPr="00A33884">
        <w:rPr>
          <w:iCs/>
          <w:lang w:val="en-GB"/>
        </w:rPr>
        <w:t xml:space="preserve"> </w:t>
      </w:r>
      <w:r w:rsidR="000E58CC">
        <w:rPr>
          <w:iCs/>
          <w:lang w:val="en-GB"/>
        </w:rPr>
        <w:t xml:space="preserve">Commissioner’s </w:t>
      </w:r>
      <w:r w:rsidR="00A33884" w:rsidRPr="00A33884">
        <w:rPr>
          <w:iCs/>
          <w:lang w:val="en-GB"/>
        </w:rPr>
        <w:t xml:space="preserve">Office as the </w:t>
      </w:r>
      <w:r w:rsidR="00ED7A10">
        <w:rPr>
          <w:iCs/>
          <w:lang w:val="en-GB"/>
        </w:rPr>
        <w:t>national body</w:t>
      </w:r>
      <w:r w:rsidR="00A33884" w:rsidRPr="00A33884">
        <w:rPr>
          <w:iCs/>
          <w:lang w:val="en-GB"/>
        </w:rPr>
        <w:t xml:space="preserve"> </w:t>
      </w:r>
      <w:r w:rsidR="00ED7A10">
        <w:rPr>
          <w:iCs/>
          <w:lang w:val="en-GB"/>
        </w:rPr>
        <w:t>mandated under the</w:t>
      </w:r>
      <w:r w:rsidR="00A33884" w:rsidRPr="00A33884">
        <w:rPr>
          <w:iCs/>
          <w:lang w:val="en-GB"/>
        </w:rPr>
        <w:t xml:space="preserve"> </w:t>
      </w:r>
      <w:r w:rsidR="006F10BF">
        <w:rPr>
          <w:iCs/>
          <w:lang w:val="en-GB"/>
        </w:rPr>
        <w:t xml:space="preserve">Disability </w:t>
      </w:r>
      <w:r w:rsidR="00A33884" w:rsidRPr="00A33884">
        <w:rPr>
          <w:iCs/>
          <w:lang w:val="en-GB"/>
        </w:rPr>
        <w:t>Convention, to allow it to discharge its mandat</w:t>
      </w:r>
      <w:r w:rsidR="00DD51BC">
        <w:rPr>
          <w:iCs/>
          <w:lang w:val="en-GB"/>
        </w:rPr>
        <w:t xml:space="preserve">e effectively and independently </w:t>
      </w:r>
      <w:r w:rsidR="00A33884">
        <w:rPr>
          <w:iCs/>
          <w:lang w:val="en-GB"/>
        </w:rPr>
        <w:t>(</w:t>
      </w:r>
      <w:hyperlink r:id="rId37" w:history="1">
        <w:r w:rsidR="00A33884" w:rsidRPr="008F689A">
          <w:rPr>
            <w:rStyle w:val="Hyperlink"/>
            <w:lang w:val="en-US"/>
          </w:rPr>
          <w:t>CRPD/C/POL/CO/1</w:t>
        </w:r>
      </w:hyperlink>
      <w:r w:rsidR="00A33884">
        <w:rPr>
          <w:lang w:val="en-US"/>
        </w:rPr>
        <w:t xml:space="preserve"> Para 56)</w:t>
      </w:r>
      <w:r w:rsidR="00DD51BC">
        <w:rPr>
          <w:lang w:val="en-US"/>
        </w:rPr>
        <w:t>.</w:t>
      </w:r>
    </w:p>
    <w:p w14:paraId="0AEC3FCE" w14:textId="77777777" w:rsidR="008F689A" w:rsidRPr="00962913" w:rsidRDefault="008F689A" w:rsidP="001B7CA2">
      <w:pPr>
        <w:rPr>
          <w:lang w:val="en-GB"/>
        </w:rPr>
      </w:pPr>
    </w:p>
    <w:p w14:paraId="25A79266" w14:textId="24CA9614" w:rsidR="001B7CA2" w:rsidRPr="001B7CA2" w:rsidRDefault="001B7CA2" w:rsidP="001B7CA2">
      <w:pPr>
        <w:rPr>
          <w:lang w:val="en-GB"/>
        </w:rPr>
      </w:pPr>
      <w:r w:rsidRPr="001B7CA2">
        <w:rPr>
          <w:b/>
          <w:bCs/>
          <w:i/>
          <w:iCs/>
          <w:lang w:val="en-GB"/>
        </w:rPr>
        <w:t xml:space="preserve">C. Accessibility and judicial review of administrative decisions </w:t>
      </w:r>
    </w:p>
    <w:p w14:paraId="28A8155E" w14:textId="5638CE3B" w:rsidR="001B7CA2" w:rsidRDefault="001B7CA2" w:rsidP="001B7CA2">
      <w:pPr>
        <w:rPr>
          <w:i/>
          <w:iCs/>
          <w:lang w:val="en-GB"/>
        </w:rPr>
      </w:pPr>
      <w:r w:rsidRPr="001B7CA2">
        <w:rPr>
          <w:i/>
          <w:iCs/>
          <w:lang w:val="en-GB"/>
        </w:rPr>
        <w:t xml:space="preserve">43. Transparency of administrative decisions and sanctions (incl. their publication and rules on collection of related data) and judicial review (incl. scope, suspensive effect) </w:t>
      </w:r>
    </w:p>
    <w:p w14:paraId="2071E426" w14:textId="77E60982" w:rsidR="006F10BF" w:rsidRDefault="006F10BF" w:rsidP="00962913">
      <w:pPr>
        <w:jc w:val="both"/>
        <w:rPr>
          <w:lang w:val="en-US"/>
        </w:rPr>
      </w:pPr>
      <w:r w:rsidRPr="00B0564B">
        <w:rPr>
          <w:iCs/>
          <w:lang w:val="en-US"/>
        </w:rPr>
        <w:t>I</w:t>
      </w:r>
      <w:r w:rsidRPr="00B0564B">
        <w:rPr>
          <w:iCs/>
          <w:lang w:val="en-GB"/>
        </w:rPr>
        <w:t>n the 2020 report following h</w:t>
      </w:r>
      <w:r w:rsidR="000D06BF">
        <w:rPr>
          <w:iCs/>
          <w:lang w:val="en-GB"/>
        </w:rPr>
        <w:t>er</w:t>
      </w:r>
      <w:r w:rsidRPr="00B0564B">
        <w:rPr>
          <w:iCs/>
          <w:lang w:val="en-GB"/>
        </w:rPr>
        <w:t xml:space="preserve"> visit to Poland, the UN Special Rapporteur in the field of cultural rights </w:t>
      </w:r>
      <w:r>
        <w:rPr>
          <w:iCs/>
          <w:lang w:val="en-GB"/>
        </w:rPr>
        <w:t>noted that t</w:t>
      </w:r>
      <w:r w:rsidRPr="00231F28">
        <w:rPr>
          <w:lang w:val="en-GB"/>
        </w:rPr>
        <w:t xml:space="preserve">he rules and processes for submitting requests for government grants </w:t>
      </w:r>
      <w:r>
        <w:rPr>
          <w:lang w:val="en-GB"/>
        </w:rPr>
        <w:t>were</w:t>
      </w:r>
      <w:r w:rsidRPr="00231F28">
        <w:rPr>
          <w:lang w:val="en-GB"/>
        </w:rPr>
        <w:t xml:space="preserve"> for the most part available on the Internet and easily accessible and, except for a small number of targeted programmes, the vast majority of grants seem</w:t>
      </w:r>
      <w:r>
        <w:rPr>
          <w:lang w:val="en-GB"/>
        </w:rPr>
        <w:t>ed</w:t>
      </w:r>
      <w:r w:rsidRPr="00231F28">
        <w:rPr>
          <w:lang w:val="en-GB"/>
        </w:rPr>
        <w:t xml:space="preserve"> to be open to all types of applicants and organizations. However, concerns ha</w:t>
      </w:r>
      <w:r>
        <w:rPr>
          <w:lang w:val="en-GB"/>
        </w:rPr>
        <w:t>d</w:t>
      </w:r>
      <w:r w:rsidRPr="00231F28">
        <w:rPr>
          <w:lang w:val="en-GB"/>
        </w:rPr>
        <w:t xml:space="preserve"> been expressed by various sources about the lack of transparency regarding the attribution of points in the evaluation of projects, especially those attributed for consistency with the strategic goals. There </w:t>
      </w:r>
      <w:r>
        <w:rPr>
          <w:lang w:val="en-GB"/>
        </w:rPr>
        <w:t>was</w:t>
      </w:r>
      <w:r w:rsidRPr="00231F28">
        <w:rPr>
          <w:lang w:val="en-GB"/>
        </w:rPr>
        <w:t xml:space="preserve"> a need to both clarify the general and strategic goals of grants and provide more detailed explanations for the scores attributed by the experts involved.</w:t>
      </w:r>
      <w:r>
        <w:rPr>
          <w:lang w:val="en-GB"/>
        </w:rPr>
        <w:t xml:space="preserve"> Also, the Ministry was</w:t>
      </w:r>
      <w:r w:rsidRPr="00231F28">
        <w:rPr>
          <w:lang w:val="en-GB"/>
        </w:rPr>
        <w:t xml:space="preserve"> involved in selecting both the experts who assess project</w:t>
      </w:r>
      <w:r>
        <w:rPr>
          <w:lang w:val="en-GB"/>
        </w:rPr>
        <w:t xml:space="preserve"> proposals</w:t>
      </w:r>
      <w:r w:rsidRPr="00231F28">
        <w:rPr>
          <w:lang w:val="en-GB"/>
        </w:rPr>
        <w:t xml:space="preserve"> and the directors of national cultural institutions, and the pro</w:t>
      </w:r>
      <w:r>
        <w:rPr>
          <w:lang w:val="en-GB"/>
        </w:rPr>
        <w:t>grammes of these institutions wer</w:t>
      </w:r>
      <w:r w:rsidRPr="00231F28">
        <w:rPr>
          <w:lang w:val="en-GB"/>
        </w:rPr>
        <w:t>e subject to the approval of the Minister</w:t>
      </w:r>
      <w:r>
        <w:rPr>
          <w:lang w:val="en-GB"/>
        </w:rPr>
        <w:t xml:space="preserve">, which </w:t>
      </w:r>
      <w:r w:rsidRPr="00231F28">
        <w:rPr>
          <w:lang w:val="en-GB"/>
        </w:rPr>
        <w:t>implie</w:t>
      </w:r>
      <w:r>
        <w:rPr>
          <w:lang w:val="en-GB"/>
        </w:rPr>
        <w:t>d</w:t>
      </w:r>
      <w:r w:rsidRPr="00231F28">
        <w:rPr>
          <w:lang w:val="en-GB"/>
        </w:rPr>
        <w:t xml:space="preserve"> a rather large influence on programming. For the directors and staff of cultural institutions, the fact that some members of the ruling party </w:t>
      </w:r>
      <w:r w:rsidR="008D7F8C">
        <w:rPr>
          <w:lang w:val="en-GB"/>
        </w:rPr>
        <w:t>had</w:t>
      </w:r>
      <w:r w:rsidRPr="00231F28">
        <w:rPr>
          <w:lang w:val="en-GB"/>
        </w:rPr>
        <w:t xml:space="preserve"> not agreed with their artistic and cultural choices ha</w:t>
      </w:r>
      <w:r w:rsidR="008D7F8C">
        <w:rPr>
          <w:lang w:val="en-GB"/>
        </w:rPr>
        <w:t>d</w:t>
      </w:r>
      <w:r w:rsidRPr="00231F28">
        <w:rPr>
          <w:lang w:val="en-GB"/>
        </w:rPr>
        <w:t xml:space="preserve"> translated into repeated criticism in public media and, sometimes, into prosecutions and investigations. In some particular cases, this ha</w:t>
      </w:r>
      <w:r w:rsidR="008D7F8C">
        <w:rPr>
          <w:lang w:val="en-GB"/>
        </w:rPr>
        <w:t>d</w:t>
      </w:r>
      <w:r w:rsidR="00DD51BC">
        <w:rPr>
          <w:lang w:val="en-GB"/>
        </w:rPr>
        <w:t xml:space="preserve"> even led to dismissals (</w:t>
      </w:r>
      <w:hyperlink r:id="rId38" w:history="1">
        <w:r w:rsidRPr="00B0564B">
          <w:rPr>
            <w:rStyle w:val="Hyperlink"/>
            <w:lang w:val="en-US"/>
          </w:rPr>
          <w:t>A/HRC/43/50/Add.1</w:t>
        </w:r>
      </w:hyperlink>
      <w:r w:rsidRPr="00B0564B">
        <w:rPr>
          <w:lang w:val="en-US"/>
        </w:rPr>
        <w:t xml:space="preserve"> para </w:t>
      </w:r>
      <w:r w:rsidR="00991323">
        <w:rPr>
          <w:lang w:val="en-US"/>
        </w:rPr>
        <w:t>20, 23</w:t>
      </w:r>
      <w:r w:rsidRPr="00B0564B">
        <w:rPr>
          <w:lang w:val="en-US"/>
        </w:rPr>
        <w:t>)</w:t>
      </w:r>
      <w:r w:rsidR="00DD51BC">
        <w:rPr>
          <w:lang w:val="en-US"/>
        </w:rPr>
        <w:t>.</w:t>
      </w:r>
    </w:p>
    <w:p w14:paraId="53488779" w14:textId="2F63D561" w:rsidR="001B7CA2" w:rsidRPr="001B7CA2" w:rsidRDefault="001B7CA2" w:rsidP="001B7CA2">
      <w:pPr>
        <w:rPr>
          <w:lang w:val="en-GB"/>
        </w:rPr>
      </w:pPr>
      <w:r w:rsidRPr="001B7CA2">
        <w:rPr>
          <w:i/>
          <w:iCs/>
          <w:lang w:val="en-GB"/>
        </w:rPr>
        <w:t xml:space="preserve">44. Implementation by the public administration and State institutions of final court decisions </w:t>
      </w:r>
    </w:p>
    <w:p w14:paraId="2081FC02" w14:textId="77777777" w:rsidR="001B7CA2" w:rsidRPr="001B7CA2" w:rsidRDefault="001B7CA2" w:rsidP="001B7CA2">
      <w:pPr>
        <w:rPr>
          <w:lang w:val="en-GB"/>
        </w:rPr>
      </w:pPr>
      <w:r w:rsidRPr="001B7CA2">
        <w:rPr>
          <w:b/>
          <w:bCs/>
          <w:i/>
          <w:iCs/>
          <w:lang w:val="en-GB"/>
        </w:rPr>
        <w:lastRenderedPageBreak/>
        <w:t xml:space="preserve">D. The enabling framework for civil society </w:t>
      </w:r>
    </w:p>
    <w:p w14:paraId="35ADA468" w14:textId="70893F57" w:rsidR="001B7CA2" w:rsidRDefault="001B7CA2" w:rsidP="001B7CA2">
      <w:pPr>
        <w:rPr>
          <w:i/>
          <w:iCs/>
          <w:lang w:val="en-GB"/>
        </w:rPr>
      </w:pPr>
      <w:r w:rsidRPr="001B7CA2">
        <w:rPr>
          <w:i/>
          <w:iCs/>
          <w:lang w:val="en-GB"/>
        </w:rPr>
        <w:t xml:space="preserve">45. Measures regarding the framework for civil society organisations (e.g. access to funding, registration rules, measures capable of affecting the public perception of civil society organisations, etc.) </w:t>
      </w:r>
    </w:p>
    <w:p w14:paraId="3C0C4CF3" w14:textId="1864A78D" w:rsidR="008D7F8C" w:rsidRPr="00991323" w:rsidRDefault="008D7F8C" w:rsidP="00656276">
      <w:pPr>
        <w:pStyle w:val="CommentText"/>
        <w:jc w:val="both"/>
        <w:rPr>
          <w:sz w:val="22"/>
          <w:szCs w:val="22"/>
          <w:lang w:val="en-US"/>
        </w:rPr>
      </w:pPr>
      <w:r w:rsidRPr="00991323">
        <w:rPr>
          <w:iCs/>
          <w:sz w:val="22"/>
          <w:szCs w:val="22"/>
          <w:lang w:val="en-US"/>
        </w:rPr>
        <w:t>I</w:t>
      </w:r>
      <w:r w:rsidRPr="00991323">
        <w:rPr>
          <w:iCs/>
          <w:sz w:val="22"/>
          <w:szCs w:val="22"/>
          <w:lang w:val="en-GB"/>
        </w:rPr>
        <w:t>n the 2020 report following h</w:t>
      </w:r>
      <w:r w:rsidR="000D06BF">
        <w:rPr>
          <w:iCs/>
          <w:sz w:val="22"/>
          <w:szCs w:val="22"/>
          <w:lang w:val="en-GB"/>
        </w:rPr>
        <w:t>er</w:t>
      </w:r>
      <w:r w:rsidRPr="00991323">
        <w:rPr>
          <w:iCs/>
          <w:sz w:val="22"/>
          <w:szCs w:val="22"/>
          <w:lang w:val="en-GB"/>
        </w:rPr>
        <w:t xml:space="preserve"> visit to Poland, the UN Special Rapporteur in the field of cultural rights noted </w:t>
      </w:r>
      <w:r w:rsidR="000D06BF">
        <w:rPr>
          <w:iCs/>
          <w:sz w:val="22"/>
          <w:szCs w:val="22"/>
          <w:lang w:val="en-GB"/>
        </w:rPr>
        <w:t>s</w:t>
      </w:r>
      <w:r w:rsidRPr="00991323">
        <w:rPr>
          <w:iCs/>
          <w:sz w:val="22"/>
          <w:szCs w:val="22"/>
          <w:lang w:val="en-GB"/>
        </w:rPr>
        <w:t>he had re</w:t>
      </w:r>
      <w:r w:rsidRPr="00991323">
        <w:rPr>
          <w:sz w:val="22"/>
          <w:szCs w:val="22"/>
          <w:lang w:val="en-GB"/>
        </w:rPr>
        <w:t xml:space="preserve">ceived mixed reports regarding the space available for Polish civil society action, which is important for securing cultural rights. On the one hand, demonstrations were regularly organized by a variety of actors and the Special Rapporteur was told that protection granted to participants by police forces was sometimes good, including in the case of equality marches where participants sometimes felt safe. On the other hand, there were shocking reports about the failure of police forces to protect peaceful demonstrators against violent physical attacks and about abuses by the police forces themselves, as well as lack of legal remedies from the prosecutor’s office in cases of abuse. One worrying example concerned the reported intrusive body searches of female demonstrators arrested for trying to stop the logging of the forest of Białowieża, a World Heritage site. The Special Rapporteur noted that the right to freedom of assembly was generally respected in law and in practice but that, in recent years, protesters had increasingly risked surveillance, intimidation, physical attacks by counter protestors and sometimes even </w:t>
      </w:r>
      <w:r w:rsidR="000D06BF">
        <w:rPr>
          <w:sz w:val="22"/>
          <w:szCs w:val="22"/>
          <w:lang w:val="en-GB"/>
        </w:rPr>
        <w:t xml:space="preserve">the </w:t>
      </w:r>
      <w:r w:rsidRPr="00991323">
        <w:rPr>
          <w:sz w:val="22"/>
          <w:szCs w:val="22"/>
          <w:lang w:val="en-GB"/>
        </w:rPr>
        <w:t>use of force by the authorities, arrest and pr</w:t>
      </w:r>
      <w:r w:rsidR="00DD51BC">
        <w:rPr>
          <w:sz w:val="22"/>
          <w:szCs w:val="22"/>
          <w:lang w:val="en-GB"/>
        </w:rPr>
        <w:t xml:space="preserve">osecution for their activities </w:t>
      </w:r>
      <w:r w:rsidRPr="00991323">
        <w:rPr>
          <w:sz w:val="22"/>
          <w:szCs w:val="22"/>
          <w:lang w:val="en-GB"/>
        </w:rPr>
        <w:t>(</w:t>
      </w:r>
      <w:hyperlink r:id="rId39" w:history="1">
        <w:r w:rsidRPr="00991323">
          <w:rPr>
            <w:rStyle w:val="Hyperlink"/>
            <w:sz w:val="22"/>
            <w:szCs w:val="22"/>
            <w:lang w:val="en-US"/>
          </w:rPr>
          <w:t>A/HRC/43/50/Add.1</w:t>
        </w:r>
      </w:hyperlink>
      <w:r w:rsidRPr="00991323">
        <w:rPr>
          <w:sz w:val="22"/>
          <w:szCs w:val="22"/>
          <w:lang w:val="en-US"/>
        </w:rPr>
        <w:t xml:space="preserve">, </w:t>
      </w:r>
      <w:r w:rsidRPr="00DD51BC">
        <w:rPr>
          <w:sz w:val="22"/>
          <w:szCs w:val="22"/>
          <w:lang w:val="en-US"/>
        </w:rPr>
        <w:t>par</w:t>
      </w:r>
      <w:r w:rsidR="00991323" w:rsidRPr="00DD51BC">
        <w:rPr>
          <w:sz w:val="22"/>
          <w:szCs w:val="22"/>
          <w:lang w:val="en-US"/>
        </w:rPr>
        <w:t>a</w:t>
      </w:r>
      <w:r w:rsidRPr="00DD51BC">
        <w:rPr>
          <w:sz w:val="22"/>
          <w:szCs w:val="22"/>
          <w:lang w:val="en-US"/>
        </w:rPr>
        <w:t xml:space="preserve"> </w:t>
      </w:r>
      <w:r w:rsidR="00991323" w:rsidRPr="00DD51BC">
        <w:rPr>
          <w:sz w:val="22"/>
          <w:szCs w:val="22"/>
          <w:lang w:val="en-US"/>
        </w:rPr>
        <w:t>83, 84</w:t>
      </w:r>
      <w:r w:rsidRPr="00991323">
        <w:rPr>
          <w:sz w:val="22"/>
          <w:szCs w:val="22"/>
          <w:lang w:val="en-US"/>
        </w:rPr>
        <w:t>)</w:t>
      </w:r>
      <w:r w:rsidR="00DD51BC">
        <w:rPr>
          <w:sz w:val="22"/>
          <w:szCs w:val="22"/>
          <w:lang w:val="en-US"/>
        </w:rPr>
        <w:t>.</w:t>
      </w:r>
    </w:p>
    <w:p w14:paraId="7463074D" w14:textId="149F2D20" w:rsidR="00144770" w:rsidRDefault="00144770" w:rsidP="00144770">
      <w:pPr>
        <w:jc w:val="both"/>
        <w:rPr>
          <w:iCs/>
          <w:lang w:val="en-GB"/>
        </w:rPr>
      </w:pPr>
      <w:r>
        <w:rPr>
          <w:iCs/>
          <w:lang w:val="en-GB"/>
        </w:rPr>
        <w:t xml:space="preserve">In </w:t>
      </w:r>
      <w:r w:rsidR="0083739F">
        <w:rPr>
          <w:iCs/>
          <w:lang w:val="en-GB"/>
        </w:rPr>
        <w:t>the</w:t>
      </w:r>
      <w:r>
        <w:rPr>
          <w:iCs/>
          <w:lang w:val="en-GB"/>
        </w:rPr>
        <w:t xml:space="preserve"> </w:t>
      </w:r>
      <w:r w:rsidR="00D76481">
        <w:rPr>
          <w:iCs/>
          <w:lang w:val="en-GB"/>
        </w:rPr>
        <w:t xml:space="preserve">2019 </w:t>
      </w:r>
      <w:r>
        <w:rPr>
          <w:iCs/>
          <w:lang w:val="en-GB"/>
        </w:rPr>
        <w:t>r</w:t>
      </w:r>
      <w:r w:rsidRPr="00D027D9">
        <w:rPr>
          <w:iCs/>
          <w:lang w:val="en-GB"/>
        </w:rPr>
        <w:t>eport</w:t>
      </w:r>
      <w:r>
        <w:rPr>
          <w:iCs/>
          <w:lang w:val="en-GB"/>
        </w:rPr>
        <w:t xml:space="preserve"> following </w:t>
      </w:r>
      <w:r w:rsidR="0083739F">
        <w:rPr>
          <w:iCs/>
          <w:lang w:val="en-GB"/>
        </w:rPr>
        <w:t>its</w:t>
      </w:r>
      <w:r>
        <w:rPr>
          <w:iCs/>
          <w:lang w:val="en-GB"/>
        </w:rPr>
        <w:t xml:space="preserve"> visit to Poland, </w:t>
      </w:r>
      <w:r w:rsidRPr="00D027D9">
        <w:rPr>
          <w:iCs/>
          <w:lang w:val="en-GB"/>
        </w:rPr>
        <w:t>the Working Group on the issue of discrimination against</w:t>
      </w:r>
      <w:r>
        <w:rPr>
          <w:iCs/>
          <w:lang w:val="en-GB"/>
        </w:rPr>
        <w:t xml:space="preserve"> </w:t>
      </w:r>
      <w:r w:rsidRPr="00D027D9">
        <w:rPr>
          <w:iCs/>
          <w:lang w:val="en-GB"/>
        </w:rPr>
        <w:t>women in law and in practice</w:t>
      </w:r>
      <w:r>
        <w:rPr>
          <w:iCs/>
          <w:lang w:val="en-GB"/>
        </w:rPr>
        <w:t xml:space="preserve"> recommended to use t</w:t>
      </w:r>
      <w:r w:rsidRPr="00144770">
        <w:rPr>
          <w:iCs/>
          <w:lang w:val="en-GB"/>
        </w:rPr>
        <w:t>he valuable knowledge and experiences of wom</w:t>
      </w:r>
      <w:r>
        <w:rPr>
          <w:iCs/>
          <w:lang w:val="en-GB"/>
        </w:rPr>
        <w:t>en’s rights organizations</w:t>
      </w:r>
      <w:r w:rsidRPr="00144770">
        <w:rPr>
          <w:iCs/>
          <w:lang w:val="en-GB"/>
        </w:rPr>
        <w:t>. Not only should they receive the appropriate funding, their voices must</w:t>
      </w:r>
      <w:r>
        <w:rPr>
          <w:iCs/>
          <w:lang w:val="en-GB"/>
        </w:rPr>
        <w:t xml:space="preserve"> </w:t>
      </w:r>
      <w:r w:rsidRPr="00144770">
        <w:rPr>
          <w:iCs/>
          <w:lang w:val="en-GB"/>
        </w:rPr>
        <w:t>be heard in the formulation of government policies and strategies. International and</w:t>
      </w:r>
      <w:r>
        <w:rPr>
          <w:iCs/>
          <w:lang w:val="en-GB"/>
        </w:rPr>
        <w:t xml:space="preserve"> </w:t>
      </w:r>
      <w:r w:rsidRPr="00144770">
        <w:rPr>
          <w:iCs/>
          <w:lang w:val="en-GB"/>
        </w:rPr>
        <w:t>regional support should also prioritize women’s rights organizations in the current context</w:t>
      </w:r>
      <w:r>
        <w:rPr>
          <w:iCs/>
          <w:lang w:val="en-GB"/>
        </w:rPr>
        <w:t xml:space="preserve"> </w:t>
      </w:r>
      <w:r w:rsidRPr="00144770">
        <w:rPr>
          <w:iCs/>
          <w:lang w:val="en-GB"/>
        </w:rPr>
        <w:t>of the shrinking space f</w:t>
      </w:r>
      <w:r w:rsidR="0083739F">
        <w:rPr>
          <w:iCs/>
          <w:lang w:val="en-GB"/>
        </w:rPr>
        <w:t xml:space="preserve">or civil society organizations. </w:t>
      </w:r>
      <w:r>
        <w:rPr>
          <w:iCs/>
          <w:lang w:val="en-GB"/>
        </w:rPr>
        <w:t>(</w:t>
      </w:r>
      <w:hyperlink r:id="rId40" w:history="1">
        <w:r w:rsidRPr="008F689A">
          <w:rPr>
            <w:rStyle w:val="Hyperlink"/>
            <w:iCs/>
            <w:lang w:val="en-GB"/>
          </w:rPr>
          <w:t>A/HRC/41/33/Add.2</w:t>
        </w:r>
      </w:hyperlink>
      <w:r w:rsidR="00D76481">
        <w:rPr>
          <w:iCs/>
          <w:lang w:val="en-GB"/>
        </w:rPr>
        <w:t>,</w:t>
      </w:r>
      <w:r>
        <w:rPr>
          <w:iCs/>
          <w:lang w:val="en-GB"/>
        </w:rPr>
        <w:t xml:space="preserve"> </w:t>
      </w:r>
      <w:r w:rsidR="00D76481">
        <w:rPr>
          <w:iCs/>
          <w:lang w:val="en-GB"/>
        </w:rPr>
        <w:t>p</w:t>
      </w:r>
      <w:r>
        <w:rPr>
          <w:iCs/>
          <w:lang w:val="en-GB"/>
        </w:rPr>
        <w:t>ara 28)</w:t>
      </w:r>
    </w:p>
    <w:p w14:paraId="285A08D2" w14:textId="02D859C6" w:rsidR="0083739F" w:rsidRDefault="0083739F" w:rsidP="0083739F">
      <w:pPr>
        <w:jc w:val="both"/>
        <w:rPr>
          <w:lang w:val="en-US"/>
        </w:rPr>
      </w:pPr>
      <w:r>
        <w:rPr>
          <w:iCs/>
          <w:lang w:val="en-GB"/>
        </w:rPr>
        <w:t xml:space="preserve">The </w:t>
      </w:r>
      <w:r w:rsidRPr="00AB39DD">
        <w:rPr>
          <w:iCs/>
          <w:lang w:val="en-GB"/>
        </w:rPr>
        <w:t>Committee on the Rights of Persons with Disabilities</w:t>
      </w:r>
      <w:r>
        <w:rPr>
          <w:iCs/>
          <w:lang w:val="en-GB"/>
        </w:rPr>
        <w:t xml:space="preserve"> in its 2018 c</w:t>
      </w:r>
      <w:r w:rsidRPr="00AB39DD">
        <w:rPr>
          <w:iCs/>
          <w:lang w:val="en-GB"/>
        </w:rPr>
        <w:t xml:space="preserve">oncluding observations </w:t>
      </w:r>
      <w:r w:rsidRPr="00E87A2E">
        <w:rPr>
          <w:iCs/>
          <w:lang w:val="en-GB"/>
        </w:rPr>
        <w:t>call</w:t>
      </w:r>
      <w:r>
        <w:rPr>
          <w:iCs/>
          <w:lang w:val="en-GB"/>
        </w:rPr>
        <w:t>ed</w:t>
      </w:r>
      <w:r w:rsidRPr="00E87A2E">
        <w:rPr>
          <w:iCs/>
          <w:lang w:val="en-GB"/>
        </w:rPr>
        <w:t xml:space="preserve"> upon </w:t>
      </w:r>
      <w:r>
        <w:rPr>
          <w:iCs/>
          <w:lang w:val="en-GB"/>
        </w:rPr>
        <w:t>Poland</w:t>
      </w:r>
      <w:r w:rsidRPr="00E87A2E">
        <w:rPr>
          <w:iCs/>
          <w:lang w:val="en-GB"/>
        </w:rPr>
        <w:t xml:space="preserve"> to </w:t>
      </w:r>
      <w:r>
        <w:rPr>
          <w:iCs/>
          <w:lang w:val="en-GB"/>
        </w:rPr>
        <w:t>e</w:t>
      </w:r>
      <w:r w:rsidRPr="00A33884">
        <w:rPr>
          <w:iCs/>
          <w:lang w:val="en-GB"/>
        </w:rPr>
        <w:t>nsure the comprehensive and effective involvement of organizations of persons with disabilities in monitoring tasks under the Convention, and provide them with the funding necessary for that purpose</w:t>
      </w:r>
      <w:r w:rsidR="00DD51BC">
        <w:rPr>
          <w:iCs/>
          <w:lang w:val="en-GB"/>
        </w:rPr>
        <w:t xml:space="preserve"> </w:t>
      </w:r>
      <w:r>
        <w:rPr>
          <w:iCs/>
          <w:lang w:val="en-GB"/>
        </w:rPr>
        <w:t>(</w:t>
      </w:r>
      <w:hyperlink r:id="rId41" w:history="1">
        <w:r w:rsidRPr="008F689A">
          <w:rPr>
            <w:rStyle w:val="Hyperlink"/>
            <w:lang w:val="en-US"/>
          </w:rPr>
          <w:t>CRPD/C/POL/CO/1</w:t>
        </w:r>
      </w:hyperlink>
      <w:r>
        <w:rPr>
          <w:lang w:val="en-US"/>
        </w:rPr>
        <w:t>, para 56c)</w:t>
      </w:r>
      <w:r w:rsidR="00DD51BC">
        <w:rPr>
          <w:lang w:val="en-US"/>
        </w:rPr>
        <w:t>.</w:t>
      </w:r>
    </w:p>
    <w:p w14:paraId="283CD226" w14:textId="0BB1D235" w:rsidR="00144770" w:rsidRPr="00962913" w:rsidRDefault="00656276" w:rsidP="00595A34">
      <w:pPr>
        <w:jc w:val="both"/>
        <w:rPr>
          <w:rFonts w:cstheme="minorHAnsi"/>
          <w:lang w:val="en-US"/>
        </w:rPr>
      </w:pPr>
      <w:r w:rsidRPr="008B50CB">
        <w:rPr>
          <w:rFonts w:cstheme="minorHAnsi"/>
          <w:lang w:val="en-US"/>
        </w:rPr>
        <w:t xml:space="preserve">In 2018, several Special Procedures mandate-holders initiated a dialogue with Poland </w:t>
      </w:r>
      <w:r w:rsidR="00595A34" w:rsidRPr="008B50CB">
        <w:rPr>
          <w:rFonts w:cstheme="minorHAnsi"/>
          <w:lang w:val="en-US"/>
        </w:rPr>
        <w:t xml:space="preserve">citing </w:t>
      </w:r>
      <w:r w:rsidR="00595A34" w:rsidRPr="008B50CB">
        <w:rPr>
          <w:rStyle w:val="lblnewsfulltext"/>
          <w:rFonts w:cstheme="minorHAnsi"/>
          <w:lang w:val="en-US"/>
        </w:rPr>
        <w:t xml:space="preserve">concerns about a new safety and security law written specifically for the UN Framework Convention on Climate Change (COP24) in Poland, that could hamper civil society’s involvement in the climate talks. Later in the year, they also exchanged with Poland citing concerns about the judicial harassment of </w:t>
      </w:r>
      <w:r w:rsidR="008B50CB" w:rsidRPr="008B50CB">
        <w:rPr>
          <w:rStyle w:val="lblnewsfulltext"/>
          <w:rFonts w:cstheme="minorHAnsi"/>
          <w:lang w:val="en-US"/>
        </w:rPr>
        <w:t xml:space="preserve">the </w:t>
      </w:r>
      <w:r w:rsidR="00595A34" w:rsidRPr="008B50CB">
        <w:rPr>
          <w:rStyle w:val="lblnewsfulltext"/>
          <w:rFonts w:cstheme="minorHAnsi"/>
          <w:lang w:val="en-US"/>
        </w:rPr>
        <w:t xml:space="preserve">Polish non-governmental organisation, the Open Dialog Foundation, working on the protection and promotion of human rights, democracy and rule of law in the post-Soviet area, </w:t>
      </w:r>
      <w:r w:rsidR="008B50CB" w:rsidRPr="008B50CB">
        <w:rPr>
          <w:rStyle w:val="lblnewsfulltext"/>
          <w:rFonts w:cstheme="minorHAnsi"/>
          <w:lang w:val="en-US"/>
        </w:rPr>
        <w:t>and</w:t>
      </w:r>
      <w:r w:rsidR="00595A34" w:rsidRPr="008B50CB">
        <w:rPr>
          <w:rStyle w:val="lblnewsfulltext"/>
          <w:rFonts w:cstheme="minorHAnsi"/>
          <w:lang w:val="en-US"/>
        </w:rPr>
        <w:t xml:space="preserve"> about </w:t>
      </w:r>
      <w:r w:rsidR="008B50CB">
        <w:rPr>
          <w:rStyle w:val="lblnewsfulltext"/>
          <w:rFonts w:cstheme="minorHAnsi"/>
          <w:lang w:val="en-US"/>
        </w:rPr>
        <w:t xml:space="preserve">the </w:t>
      </w:r>
      <w:r w:rsidR="00595A34" w:rsidRPr="008B50CB">
        <w:rPr>
          <w:rStyle w:val="lblnewsfulltext"/>
          <w:rFonts w:cstheme="minorHAnsi"/>
          <w:lang w:val="en-US"/>
        </w:rPr>
        <w:t>treatment of its President. (</w:t>
      </w:r>
      <w:hyperlink r:id="rId42" w:tgtFrame="Com_23747" w:history="1">
        <w:r w:rsidR="00595A34" w:rsidRPr="008B50CB">
          <w:rPr>
            <w:rStyle w:val="Hyperlink"/>
            <w:rFonts w:cstheme="minorHAnsi"/>
            <w:u w:val="none"/>
            <w:bdr w:val="none" w:sz="0" w:space="0" w:color="auto" w:frame="1"/>
            <w:lang w:val="en-US"/>
          </w:rPr>
          <w:t>POL 3/2018</w:t>
        </w:r>
      </w:hyperlink>
      <w:r w:rsidR="00595A34" w:rsidRPr="008B50CB">
        <w:rPr>
          <w:rStyle w:val="Hyperlink"/>
          <w:rFonts w:cstheme="minorHAnsi"/>
          <w:u w:val="none"/>
          <w:bdr w:val="none" w:sz="0" w:space="0" w:color="auto" w:frame="1"/>
          <w:lang w:val="en-US"/>
        </w:rPr>
        <w:t xml:space="preserve">,  </w:t>
      </w:r>
      <w:hyperlink r:id="rId43" w:history="1">
        <w:r w:rsidR="00595A34" w:rsidRPr="008B50CB">
          <w:rPr>
            <w:rStyle w:val="Hyperlink"/>
            <w:rFonts w:cstheme="minorHAnsi"/>
            <w:lang w:val="en-US"/>
          </w:rPr>
          <w:t>POL 4/2018</w:t>
        </w:r>
      </w:hyperlink>
      <w:r w:rsidR="00595A34" w:rsidRPr="008B50CB">
        <w:rPr>
          <w:rStyle w:val="lblnewsfulltext"/>
          <w:rFonts w:cstheme="minorHAnsi"/>
          <w:lang w:val="en-US"/>
        </w:rPr>
        <w:t>,</w:t>
      </w:r>
      <w:r w:rsidR="008B50CB">
        <w:rPr>
          <w:rStyle w:val="lblnewsfulltext"/>
          <w:rFonts w:cstheme="minorHAnsi"/>
          <w:lang w:val="en-US"/>
        </w:rPr>
        <w:t xml:space="preserve"> available at </w:t>
      </w:r>
      <w:hyperlink r:id="rId44" w:history="1">
        <w:r w:rsidR="008B50CB" w:rsidRPr="002668EA">
          <w:rPr>
            <w:rStyle w:val="Hyperlink"/>
            <w:lang w:val="en-US"/>
          </w:rPr>
          <w:t>https://spcommreports.ohchr.org/Tmsearch/TMDocuments</w:t>
        </w:r>
      </w:hyperlink>
      <w:r w:rsidR="008B50CB" w:rsidRPr="008B50CB">
        <w:rPr>
          <w:lang w:val="en-US"/>
        </w:rPr>
        <w:t>)</w:t>
      </w:r>
      <w:r w:rsidR="00DD51BC">
        <w:rPr>
          <w:lang w:val="en-US"/>
        </w:rPr>
        <w:t>.</w:t>
      </w:r>
    </w:p>
    <w:p w14:paraId="6188EECA" w14:textId="77777777" w:rsidR="001B7CA2" w:rsidRPr="001B7CA2" w:rsidRDefault="001B7CA2" w:rsidP="001B7CA2">
      <w:pPr>
        <w:rPr>
          <w:lang w:val="en-GB"/>
        </w:rPr>
      </w:pPr>
      <w:r w:rsidRPr="001B7CA2">
        <w:rPr>
          <w:b/>
          <w:bCs/>
          <w:i/>
          <w:iCs/>
          <w:lang w:val="en-GB"/>
        </w:rPr>
        <w:t xml:space="preserve">E. Initiatives to foster a rule of law culture </w:t>
      </w:r>
    </w:p>
    <w:p w14:paraId="5D3DA062" w14:textId="77777777" w:rsidR="001B7CA2" w:rsidRPr="001B7CA2" w:rsidRDefault="001B7CA2" w:rsidP="001B7CA2">
      <w:pPr>
        <w:rPr>
          <w:lang w:val="en-GB"/>
        </w:rPr>
      </w:pPr>
      <w:r w:rsidRPr="001B7CA2">
        <w:rPr>
          <w:i/>
          <w:iCs/>
          <w:lang w:val="en-GB"/>
        </w:rPr>
        <w:t xml:space="preserve">46. Measures to foster a rule of law culture (e.g. debates in national parliaments on the rule of law, public information campaigns on rule of law issues, etc.) </w:t>
      </w:r>
    </w:p>
    <w:p w14:paraId="203ECA1D" w14:textId="038635CF" w:rsidR="001B7CA2" w:rsidRPr="00DF26EC" w:rsidRDefault="001B7CA2" w:rsidP="001B7CA2">
      <w:r w:rsidRPr="00DF26EC">
        <w:rPr>
          <w:b/>
          <w:bCs/>
          <w:i/>
          <w:iCs/>
        </w:rPr>
        <w:t>Other – please specify</w:t>
      </w:r>
    </w:p>
    <w:p w14:paraId="2BB2DCBD" w14:textId="2D210609" w:rsidR="00E87A2E" w:rsidRDefault="00E87A2E" w:rsidP="00E87A2E">
      <w:pPr>
        <w:pStyle w:val="Header"/>
        <w:rPr>
          <w:lang w:val="en-US"/>
        </w:rPr>
      </w:pPr>
    </w:p>
    <w:p w14:paraId="7E55338D" w14:textId="77777777" w:rsidR="001B7CA2" w:rsidRPr="00E87A2E" w:rsidRDefault="001B7CA2" w:rsidP="00E75F98">
      <w:pPr>
        <w:jc w:val="both"/>
        <w:rPr>
          <w:rFonts w:cstheme="minorHAnsi"/>
          <w:lang w:val="en-US"/>
        </w:rPr>
      </w:pPr>
    </w:p>
    <w:p w14:paraId="6B297B43" w14:textId="77777777" w:rsidR="00E75F98" w:rsidRPr="00E75F98" w:rsidRDefault="00E75F98" w:rsidP="00E75F98">
      <w:pPr>
        <w:jc w:val="both"/>
        <w:rPr>
          <w:rFonts w:eastAsia="Calibri" w:cstheme="minorHAnsi"/>
          <w:lang w:val="en-GB"/>
        </w:rPr>
      </w:pPr>
    </w:p>
    <w:p w14:paraId="7B6D14DD" w14:textId="77777777" w:rsidR="008C7A94" w:rsidRPr="008C7A94" w:rsidRDefault="008C7A94" w:rsidP="008C7A94">
      <w:pPr>
        <w:rPr>
          <w:b/>
          <w:bCs/>
          <w:lang w:val="en-GB"/>
        </w:rPr>
      </w:pPr>
    </w:p>
    <w:p w14:paraId="3170F293" w14:textId="77777777" w:rsidR="008C7A94" w:rsidRPr="008C7A94" w:rsidRDefault="008C7A94" w:rsidP="00E7579B">
      <w:pPr>
        <w:jc w:val="both"/>
        <w:rPr>
          <w:rFonts w:eastAsia="Calibri" w:cstheme="minorHAnsi"/>
          <w:sz w:val="20"/>
          <w:szCs w:val="24"/>
          <w:lang w:val="en-GB"/>
        </w:rPr>
      </w:pPr>
    </w:p>
    <w:sectPr w:rsidR="008C7A94" w:rsidRPr="008C7A94">
      <w:footerReference w:type="default" r:id="rId45"/>
      <w:endnotePr>
        <w:numFmt w:val="decimal"/>
      </w:endnotePr>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CD2819" w14:textId="77777777" w:rsidR="00364DD8" w:rsidRDefault="00364DD8" w:rsidP="00AB6BD8">
      <w:pPr>
        <w:spacing w:after="0" w:line="240" w:lineRule="auto"/>
      </w:pPr>
      <w:r>
        <w:separator/>
      </w:r>
    </w:p>
  </w:endnote>
  <w:endnote w:type="continuationSeparator" w:id="0">
    <w:p w14:paraId="75422A81" w14:textId="77777777" w:rsidR="00364DD8" w:rsidRDefault="00364DD8" w:rsidP="00AB6BD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Light">
    <w:altName w:val="SimSun"/>
    <w:panose1 w:val="00000000000000000000"/>
    <w:charset w:val="86"/>
    <w:family w:val="roman"/>
    <w:notTrueType/>
    <w:pitch w:val="default"/>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77187566"/>
      <w:docPartObj>
        <w:docPartGallery w:val="Page Numbers (Bottom of Page)"/>
        <w:docPartUnique/>
      </w:docPartObj>
    </w:sdtPr>
    <w:sdtEndPr/>
    <w:sdtContent>
      <w:p w14:paraId="0500433A" w14:textId="124111B0" w:rsidR="00ED7A10" w:rsidRDefault="00ED7A10">
        <w:pPr>
          <w:pStyle w:val="Footer"/>
          <w:jc w:val="center"/>
        </w:pPr>
        <w:r>
          <w:fldChar w:fldCharType="begin"/>
        </w:r>
        <w:r>
          <w:instrText>PAGE   \* MERGEFORMAT</w:instrText>
        </w:r>
        <w:r>
          <w:fldChar w:fldCharType="separate"/>
        </w:r>
        <w:r w:rsidR="00AD14BD" w:rsidRPr="00AD14BD">
          <w:rPr>
            <w:noProof/>
            <w:lang w:val="fr-FR"/>
          </w:rPr>
          <w:t>5</w:t>
        </w:r>
        <w:r>
          <w:fldChar w:fldCharType="end"/>
        </w:r>
      </w:p>
    </w:sdtContent>
  </w:sdt>
  <w:p w14:paraId="1E65FFBB" w14:textId="77777777" w:rsidR="00ED7A10" w:rsidRDefault="00ED7A1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1931F64" w14:textId="77777777" w:rsidR="00364DD8" w:rsidRDefault="00364DD8" w:rsidP="00AB6BD8">
      <w:pPr>
        <w:spacing w:after="0" w:line="240" w:lineRule="auto"/>
      </w:pPr>
      <w:r>
        <w:separator/>
      </w:r>
    </w:p>
  </w:footnote>
  <w:footnote w:type="continuationSeparator" w:id="0">
    <w:p w14:paraId="2FF30876" w14:textId="77777777" w:rsidR="00364DD8" w:rsidRDefault="00364DD8" w:rsidP="00AB6BD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B224C5"/>
    <w:multiLevelType w:val="hybridMultilevel"/>
    <w:tmpl w:val="8BB2CF5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A71386F"/>
    <w:multiLevelType w:val="hybridMultilevel"/>
    <w:tmpl w:val="7F542AC4"/>
    <w:lvl w:ilvl="0" w:tplc="080C000B">
      <w:start w:val="1"/>
      <w:numFmt w:val="bullet"/>
      <w:lvlText w:val=""/>
      <w:lvlJc w:val="left"/>
      <w:pPr>
        <w:ind w:left="630" w:hanging="360"/>
      </w:pPr>
      <w:rPr>
        <w:rFonts w:ascii="Wingdings" w:hAnsi="Wingdings" w:hint="default"/>
      </w:rPr>
    </w:lvl>
    <w:lvl w:ilvl="1" w:tplc="080C0003" w:tentative="1">
      <w:start w:val="1"/>
      <w:numFmt w:val="bullet"/>
      <w:lvlText w:val="o"/>
      <w:lvlJc w:val="left"/>
      <w:pPr>
        <w:ind w:left="1350" w:hanging="360"/>
      </w:pPr>
      <w:rPr>
        <w:rFonts w:ascii="Courier New" w:hAnsi="Courier New" w:cs="Courier New" w:hint="default"/>
      </w:rPr>
    </w:lvl>
    <w:lvl w:ilvl="2" w:tplc="080C0005" w:tentative="1">
      <w:start w:val="1"/>
      <w:numFmt w:val="bullet"/>
      <w:lvlText w:val=""/>
      <w:lvlJc w:val="left"/>
      <w:pPr>
        <w:ind w:left="2070" w:hanging="360"/>
      </w:pPr>
      <w:rPr>
        <w:rFonts w:ascii="Wingdings" w:hAnsi="Wingdings" w:hint="default"/>
      </w:rPr>
    </w:lvl>
    <w:lvl w:ilvl="3" w:tplc="080C0001" w:tentative="1">
      <w:start w:val="1"/>
      <w:numFmt w:val="bullet"/>
      <w:lvlText w:val=""/>
      <w:lvlJc w:val="left"/>
      <w:pPr>
        <w:ind w:left="2790" w:hanging="360"/>
      </w:pPr>
      <w:rPr>
        <w:rFonts w:ascii="Symbol" w:hAnsi="Symbol" w:hint="default"/>
      </w:rPr>
    </w:lvl>
    <w:lvl w:ilvl="4" w:tplc="080C0003" w:tentative="1">
      <w:start w:val="1"/>
      <w:numFmt w:val="bullet"/>
      <w:lvlText w:val="o"/>
      <w:lvlJc w:val="left"/>
      <w:pPr>
        <w:ind w:left="3510" w:hanging="360"/>
      </w:pPr>
      <w:rPr>
        <w:rFonts w:ascii="Courier New" w:hAnsi="Courier New" w:cs="Courier New" w:hint="default"/>
      </w:rPr>
    </w:lvl>
    <w:lvl w:ilvl="5" w:tplc="080C0005" w:tentative="1">
      <w:start w:val="1"/>
      <w:numFmt w:val="bullet"/>
      <w:lvlText w:val=""/>
      <w:lvlJc w:val="left"/>
      <w:pPr>
        <w:ind w:left="4230" w:hanging="360"/>
      </w:pPr>
      <w:rPr>
        <w:rFonts w:ascii="Wingdings" w:hAnsi="Wingdings" w:hint="default"/>
      </w:rPr>
    </w:lvl>
    <w:lvl w:ilvl="6" w:tplc="080C0001" w:tentative="1">
      <w:start w:val="1"/>
      <w:numFmt w:val="bullet"/>
      <w:lvlText w:val=""/>
      <w:lvlJc w:val="left"/>
      <w:pPr>
        <w:ind w:left="4950" w:hanging="360"/>
      </w:pPr>
      <w:rPr>
        <w:rFonts w:ascii="Symbol" w:hAnsi="Symbol" w:hint="default"/>
      </w:rPr>
    </w:lvl>
    <w:lvl w:ilvl="7" w:tplc="080C0003" w:tentative="1">
      <w:start w:val="1"/>
      <w:numFmt w:val="bullet"/>
      <w:lvlText w:val="o"/>
      <w:lvlJc w:val="left"/>
      <w:pPr>
        <w:ind w:left="5670" w:hanging="360"/>
      </w:pPr>
      <w:rPr>
        <w:rFonts w:ascii="Courier New" w:hAnsi="Courier New" w:cs="Courier New" w:hint="default"/>
      </w:rPr>
    </w:lvl>
    <w:lvl w:ilvl="8" w:tplc="080C0005" w:tentative="1">
      <w:start w:val="1"/>
      <w:numFmt w:val="bullet"/>
      <w:lvlText w:val=""/>
      <w:lvlJc w:val="left"/>
      <w:pPr>
        <w:ind w:left="6390" w:hanging="360"/>
      </w:pPr>
      <w:rPr>
        <w:rFonts w:ascii="Wingdings" w:hAnsi="Wingdings" w:hint="default"/>
      </w:rPr>
    </w:lvl>
  </w:abstractNum>
  <w:abstractNum w:abstractNumId="2" w15:restartNumberingAfterBreak="0">
    <w:nsid w:val="52426AD4"/>
    <w:multiLevelType w:val="hybridMultilevel"/>
    <w:tmpl w:val="169009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5A319AF"/>
    <w:multiLevelType w:val="hybridMultilevel"/>
    <w:tmpl w:val="F26A8E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629327A"/>
    <w:multiLevelType w:val="hybridMultilevel"/>
    <w:tmpl w:val="C18CA3C6"/>
    <w:lvl w:ilvl="0" w:tplc="9B86EA64">
      <w:start w:val="1"/>
      <w:numFmt w:val="upperRoman"/>
      <w:lvlText w:val="%1."/>
      <w:lvlJc w:val="left"/>
      <w:pPr>
        <w:ind w:left="2844" w:hanging="720"/>
      </w:pPr>
      <w:rPr>
        <w:rFonts w:hint="default"/>
      </w:rPr>
    </w:lvl>
    <w:lvl w:ilvl="1" w:tplc="080C0019" w:tentative="1">
      <w:start w:val="1"/>
      <w:numFmt w:val="lowerLetter"/>
      <w:lvlText w:val="%2."/>
      <w:lvlJc w:val="left"/>
      <w:pPr>
        <w:ind w:left="3204" w:hanging="360"/>
      </w:pPr>
    </w:lvl>
    <w:lvl w:ilvl="2" w:tplc="080C001B" w:tentative="1">
      <w:start w:val="1"/>
      <w:numFmt w:val="lowerRoman"/>
      <w:lvlText w:val="%3."/>
      <w:lvlJc w:val="right"/>
      <w:pPr>
        <w:ind w:left="3924" w:hanging="180"/>
      </w:pPr>
    </w:lvl>
    <w:lvl w:ilvl="3" w:tplc="080C000F" w:tentative="1">
      <w:start w:val="1"/>
      <w:numFmt w:val="decimal"/>
      <w:lvlText w:val="%4."/>
      <w:lvlJc w:val="left"/>
      <w:pPr>
        <w:ind w:left="4644" w:hanging="360"/>
      </w:pPr>
    </w:lvl>
    <w:lvl w:ilvl="4" w:tplc="080C0019" w:tentative="1">
      <w:start w:val="1"/>
      <w:numFmt w:val="lowerLetter"/>
      <w:lvlText w:val="%5."/>
      <w:lvlJc w:val="left"/>
      <w:pPr>
        <w:ind w:left="5364" w:hanging="360"/>
      </w:pPr>
    </w:lvl>
    <w:lvl w:ilvl="5" w:tplc="080C001B" w:tentative="1">
      <w:start w:val="1"/>
      <w:numFmt w:val="lowerRoman"/>
      <w:lvlText w:val="%6."/>
      <w:lvlJc w:val="right"/>
      <w:pPr>
        <w:ind w:left="6084" w:hanging="180"/>
      </w:pPr>
    </w:lvl>
    <w:lvl w:ilvl="6" w:tplc="080C000F" w:tentative="1">
      <w:start w:val="1"/>
      <w:numFmt w:val="decimal"/>
      <w:lvlText w:val="%7."/>
      <w:lvlJc w:val="left"/>
      <w:pPr>
        <w:ind w:left="6804" w:hanging="360"/>
      </w:pPr>
    </w:lvl>
    <w:lvl w:ilvl="7" w:tplc="080C0019" w:tentative="1">
      <w:start w:val="1"/>
      <w:numFmt w:val="lowerLetter"/>
      <w:lvlText w:val="%8."/>
      <w:lvlJc w:val="left"/>
      <w:pPr>
        <w:ind w:left="7524" w:hanging="360"/>
      </w:pPr>
    </w:lvl>
    <w:lvl w:ilvl="8" w:tplc="080C001B" w:tentative="1">
      <w:start w:val="1"/>
      <w:numFmt w:val="lowerRoman"/>
      <w:lvlText w:val="%9."/>
      <w:lvlJc w:val="right"/>
      <w:pPr>
        <w:ind w:left="8244" w:hanging="180"/>
      </w:pPr>
    </w:lvl>
  </w:abstractNum>
  <w:abstractNum w:abstractNumId="5" w15:restartNumberingAfterBreak="0">
    <w:nsid w:val="66686066"/>
    <w:multiLevelType w:val="hybridMultilevel"/>
    <w:tmpl w:val="540236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6A046DDE"/>
    <w:multiLevelType w:val="hybridMultilevel"/>
    <w:tmpl w:val="7246484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FE8771B"/>
    <w:multiLevelType w:val="hybridMultilevel"/>
    <w:tmpl w:val="C7409BE2"/>
    <w:lvl w:ilvl="0" w:tplc="2E90BA4E">
      <w:start w:val="1"/>
      <w:numFmt w:val="upperRoman"/>
      <w:lvlText w:val="%1."/>
      <w:lvlJc w:val="left"/>
      <w:pPr>
        <w:ind w:left="1080" w:hanging="72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num w:numId="1">
    <w:abstractNumId w:val="4"/>
  </w:num>
  <w:num w:numId="2">
    <w:abstractNumId w:val="7"/>
  </w:num>
  <w:num w:numId="3">
    <w:abstractNumId w:val="1"/>
  </w:num>
  <w:num w:numId="4">
    <w:abstractNumId w:val="0"/>
  </w:num>
  <w:num w:numId="5">
    <w:abstractNumId w:val="2"/>
  </w:num>
  <w:num w:numId="6">
    <w:abstractNumId w:val="3"/>
  </w:num>
  <w:num w:numId="7">
    <w:abstractNumId w:val="6"/>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fr-BE" w:vendorID="64" w:dllVersion="6" w:nlCheck="1" w:checkStyle="0"/>
  <w:activeWritingStyle w:appName="MSWord" w:lang="en-GB" w:vendorID="64" w:dllVersion="6" w:nlCheck="1" w:checkStyle="1"/>
  <w:activeWritingStyle w:appName="MSWord" w:lang="en-US" w:vendorID="64" w:dllVersion="6" w:nlCheck="1" w:checkStyle="1"/>
  <w:activeWritingStyle w:appName="MSWord" w:lang="fr-FR" w:vendorID="64" w:dllVersion="6" w:nlCheck="1" w:checkStyle="0"/>
  <w:activeWritingStyle w:appName="MSWord" w:lang="en-AU"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en-AU" w:vendorID="64" w:dllVersion="131078" w:nlCheck="1" w:checkStyle="0"/>
  <w:activeWritingStyle w:appName="MSWord" w:lang="en-GB" w:vendorID="64" w:dllVersion="131078" w:nlCheck="1" w:checkStyle="0"/>
  <w:activeWritingStyle w:appName="MSWord" w:lang="en-US" w:vendorID="64" w:dllVersion="131078" w:nlCheck="1" w:checkStyle="0"/>
  <w:activeWritingStyle w:appName="MSWord" w:lang="fr-BE" w:vendorID="64" w:dllVersion="131078" w:nlCheck="1" w:checkStyle="0"/>
  <w:activeWritingStyle w:appName="MSWord" w:lang="fr-FR" w:vendorID="64" w:dllVersion="131078" w:nlCheck="1" w:checkStyle="0"/>
  <w:defaultTabStop w:val="708"/>
  <w:hyphenationZone w:val="425"/>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7579B"/>
    <w:rsid w:val="0002213A"/>
    <w:rsid w:val="00024911"/>
    <w:rsid w:val="000555C4"/>
    <w:rsid w:val="00094650"/>
    <w:rsid w:val="000D06BF"/>
    <w:rsid w:val="000E3E0A"/>
    <w:rsid w:val="000E4ACA"/>
    <w:rsid w:val="000E4D1E"/>
    <w:rsid w:val="000E58CC"/>
    <w:rsid w:val="000F7447"/>
    <w:rsid w:val="000F74F4"/>
    <w:rsid w:val="00125B2C"/>
    <w:rsid w:val="00137F92"/>
    <w:rsid w:val="00144770"/>
    <w:rsid w:val="0015004A"/>
    <w:rsid w:val="00152098"/>
    <w:rsid w:val="00165AFF"/>
    <w:rsid w:val="001868E0"/>
    <w:rsid w:val="00195595"/>
    <w:rsid w:val="001B7CA2"/>
    <w:rsid w:val="001C79A2"/>
    <w:rsid w:val="001C7CCF"/>
    <w:rsid w:val="001E08DC"/>
    <w:rsid w:val="001E2105"/>
    <w:rsid w:val="002057FA"/>
    <w:rsid w:val="00206A47"/>
    <w:rsid w:val="00221C79"/>
    <w:rsid w:val="00231F28"/>
    <w:rsid w:val="00235A91"/>
    <w:rsid w:val="002430D2"/>
    <w:rsid w:val="0024664D"/>
    <w:rsid w:val="00251082"/>
    <w:rsid w:val="00252C8E"/>
    <w:rsid w:val="002668EA"/>
    <w:rsid w:val="00275AE3"/>
    <w:rsid w:val="00294805"/>
    <w:rsid w:val="002953FF"/>
    <w:rsid w:val="002969C5"/>
    <w:rsid w:val="002C15AB"/>
    <w:rsid w:val="002C4AD7"/>
    <w:rsid w:val="002D45D1"/>
    <w:rsid w:val="0030165D"/>
    <w:rsid w:val="00334386"/>
    <w:rsid w:val="003619BB"/>
    <w:rsid w:val="00364DD8"/>
    <w:rsid w:val="00383787"/>
    <w:rsid w:val="003843E1"/>
    <w:rsid w:val="003B4F07"/>
    <w:rsid w:val="003F19B1"/>
    <w:rsid w:val="00405880"/>
    <w:rsid w:val="00445679"/>
    <w:rsid w:val="00447DF5"/>
    <w:rsid w:val="00451BE5"/>
    <w:rsid w:val="00462100"/>
    <w:rsid w:val="004809CC"/>
    <w:rsid w:val="00491A44"/>
    <w:rsid w:val="004A0573"/>
    <w:rsid w:val="004B60DD"/>
    <w:rsid w:val="004C0B1F"/>
    <w:rsid w:val="004E2A0C"/>
    <w:rsid w:val="004E5D2F"/>
    <w:rsid w:val="00561741"/>
    <w:rsid w:val="00572CAC"/>
    <w:rsid w:val="00572D29"/>
    <w:rsid w:val="00576122"/>
    <w:rsid w:val="00592F7B"/>
    <w:rsid w:val="005936DA"/>
    <w:rsid w:val="00595A34"/>
    <w:rsid w:val="005A53B1"/>
    <w:rsid w:val="005C4199"/>
    <w:rsid w:val="00600F16"/>
    <w:rsid w:val="0061181D"/>
    <w:rsid w:val="00633DEB"/>
    <w:rsid w:val="0064596A"/>
    <w:rsid w:val="00656276"/>
    <w:rsid w:val="0066480F"/>
    <w:rsid w:val="006B2EEF"/>
    <w:rsid w:val="006F10BF"/>
    <w:rsid w:val="007467E2"/>
    <w:rsid w:val="00753FA0"/>
    <w:rsid w:val="0079724B"/>
    <w:rsid w:val="007D7490"/>
    <w:rsid w:val="007F1F30"/>
    <w:rsid w:val="007F529E"/>
    <w:rsid w:val="0080379C"/>
    <w:rsid w:val="00812CA6"/>
    <w:rsid w:val="00815599"/>
    <w:rsid w:val="00820269"/>
    <w:rsid w:val="0083739F"/>
    <w:rsid w:val="008526FE"/>
    <w:rsid w:val="008628EF"/>
    <w:rsid w:val="00867498"/>
    <w:rsid w:val="00867CBB"/>
    <w:rsid w:val="0088139C"/>
    <w:rsid w:val="008A1B74"/>
    <w:rsid w:val="008A7229"/>
    <w:rsid w:val="008B50CB"/>
    <w:rsid w:val="008B5DE9"/>
    <w:rsid w:val="008C4411"/>
    <w:rsid w:val="008C7A94"/>
    <w:rsid w:val="008D7F8C"/>
    <w:rsid w:val="008E4FD7"/>
    <w:rsid w:val="008E537C"/>
    <w:rsid w:val="008F5F0F"/>
    <w:rsid w:val="008F689A"/>
    <w:rsid w:val="00916B8E"/>
    <w:rsid w:val="00923EBE"/>
    <w:rsid w:val="009441AD"/>
    <w:rsid w:val="00962913"/>
    <w:rsid w:val="0096772C"/>
    <w:rsid w:val="00991323"/>
    <w:rsid w:val="00997215"/>
    <w:rsid w:val="009C040C"/>
    <w:rsid w:val="009C6B9F"/>
    <w:rsid w:val="009D1508"/>
    <w:rsid w:val="009E48E9"/>
    <w:rsid w:val="00A1060B"/>
    <w:rsid w:val="00A118BB"/>
    <w:rsid w:val="00A2011E"/>
    <w:rsid w:val="00A33884"/>
    <w:rsid w:val="00A8576F"/>
    <w:rsid w:val="00A95DE7"/>
    <w:rsid w:val="00AB39DD"/>
    <w:rsid w:val="00AB4073"/>
    <w:rsid w:val="00AB6BD8"/>
    <w:rsid w:val="00AD14BD"/>
    <w:rsid w:val="00AD5BC2"/>
    <w:rsid w:val="00AE13F5"/>
    <w:rsid w:val="00AF33F6"/>
    <w:rsid w:val="00AF4734"/>
    <w:rsid w:val="00AF6778"/>
    <w:rsid w:val="00B06121"/>
    <w:rsid w:val="00B1077E"/>
    <w:rsid w:val="00B3376B"/>
    <w:rsid w:val="00B4482C"/>
    <w:rsid w:val="00B54E3F"/>
    <w:rsid w:val="00B669A0"/>
    <w:rsid w:val="00B837B5"/>
    <w:rsid w:val="00B8626C"/>
    <w:rsid w:val="00B92E78"/>
    <w:rsid w:val="00B94426"/>
    <w:rsid w:val="00BB67D7"/>
    <w:rsid w:val="00BC1D9A"/>
    <w:rsid w:val="00BF199A"/>
    <w:rsid w:val="00C206C5"/>
    <w:rsid w:val="00C21B69"/>
    <w:rsid w:val="00C25048"/>
    <w:rsid w:val="00C34944"/>
    <w:rsid w:val="00C357C2"/>
    <w:rsid w:val="00C46DCD"/>
    <w:rsid w:val="00C5007B"/>
    <w:rsid w:val="00C91D1B"/>
    <w:rsid w:val="00CB73BB"/>
    <w:rsid w:val="00CC6B37"/>
    <w:rsid w:val="00CD1815"/>
    <w:rsid w:val="00CD7A88"/>
    <w:rsid w:val="00CE4C75"/>
    <w:rsid w:val="00CF698C"/>
    <w:rsid w:val="00D002BC"/>
    <w:rsid w:val="00D027D9"/>
    <w:rsid w:val="00D17788"/>
    <w:rsid w:val="00D6657B"/>
    <w:rsid w:val="00D76481"/>
    <w:rsid w:val="00D776C3"/>
    <w:rsid w:val="00D848D8"/>
    <w:rsid w:val="00D87626"/>
    <w:rsid w:val="00DA2342"/>
    <w:rsid w:val="00DC04CC"/>
    <w:rsid w:val="00DC2228"/>
    <w:rsid w:val="00DC36E4"/>
    <w:rsid w:val="00DC5B32"/>
    <w:rsid w:val="00DD1A75"/>
    <w:rsid w:val="00DD51BC"/>
    <w:rsid w:val="00DF181A"/>
    <w:rsid w:val="00E14E2A"/>
    <w:rsid w:val="00E33076"/>
    <w:rsid w:val="00E70E81"/>
    <w:rsid w:val="00E7390A"/>
    <w:rsid w:val="00E7579B"/>
    <w:rsid w:val="00E75F98"/>
    <w:rsid w:val="00E85BC4"/>
    <w:rsid w:val="00E87A2E"/>
    <w:rsid w:val="00E92C99"/>
    <w:rsid w:val="00E943EC"/>
    <w:rsid w:val="00EA5201"/>
    <w:rsid w:val="00EB0581"/>
    <w:rsid w:val="00ED5335"/>
    <w:rsid w:val="00ED7A10"/>
    <w:rsid w:val="00EE6A52"/>
    <w:rsid w:val="00EF36D6"/>
    <w:rsid w:val="00EF4DF8"/>
    <w:rsid w:val="00F464F2"/>
    <w:rsid w:val="00F7351E"/>
    <w:rsid w:val="00F767DF"/>
    <w:rsid w:val="00F7725E"/>
    <w:rsid w:val="00FE1807"/>
    <w:rsid w:val="00FF410C"/>
  </w:rsids>
  <m:mathPr>
    <m:mathFont m:val="Cambria Math"/>
    <m:brkBin m:val="before"/>
    <m:brkBinSub m:val="--"/>
    <m:smallFrac m:val="0"/>
    <m:dispDef/>
    <m:lMargin m:val="0"/>
    <m:rMargin m:val="0"/>
    <m:defJc m:val="centerGroup"/>
    <m:wrapIndent m:val="1440"/>
    <m:intLim m:val="subSup"/>
    <m:naryLim m:val="undOvr"/>
  </m:mathPr>
  <w:themeFontLang w:val="fr-BE"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8C06DA"/>
  <w15:chartTrackingRefBased/>
  <w15:docId w15:val="{C68F1EC3-8FFB-4F2F-ABA3-12EB3CEFAD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B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E4C7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7579B"/>
    <w:pPr>
      <w:ind w:left="720"/>
      <w:contextualSpacing/>
    </w:pPr>
  </w:style>
  <w:style w:type="character" w:styleId="Hyperlink">
    <w:name w:val="Hyperlink"/>
    <w:basedOn w:val="DefaultParagraphFont"/>
    <w:uiPriority w:val="99"/>
    <w:unhideWhenUsed/>
    <w:rsid w:val="004809CC"/>
    <w:rPr>
      <w:color w:val="0563C1" w:themeColor="hyperlink"/>
      <w:u w:val="single"/>
    </w:rPr>
  </w:style>
  <w:style w:type="character" w:customStyle="1" w:styleId="UnresolvedMention1">
    <w:name w:val="Unresolved Mention1"/>
    <w:basedOn w:val="DefaultParagraphFont"/>
    <w:uiPriority w:val="99"/>
    <w:semiHidden/>
    <w:unhideWhenUsed/>
    <w:rsid w:val="004809CC"/>
    <w:rPr>
      <w:color w:val="605E5C"/>
      <w:shd w:val="clear" w:color="auto" w:fill="E1DFDD"/>
    </w:rPr>
  </w:style>
  <w:style w:type="paragraph" w:styleId="FootnoteText">
    <w:name w:val="footnote text"/>
    <w:basedOn w:val="Normal"/>
    <w:link w:val="FootnoteTextChar"/>
    <w:uiPriority w:val="99"/>
    <w:semiHidden/>
    <w:unhideWhenUsed/>
    <w:rsid w:val="00AB6BD8"/>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AB6BD8"/>
    <w:rPr>
      <w:sz w:val="20"/>
      <w:szCs w:val="20"/>
    </w:rPr>
  </w:style>
  <w:style w:type="character" w:styleId="FootnoteReference">
    <w:name w:val="footnote reference"/>
    <w:basedOn w:val="DefaultParagraphFont"/>
    <w:uiPriority w:val="99"/>
    <w:semiHidden/>
    <w:unhideWhenUsed/>
    <w:rsid w:val="00AB6BD8"/>
    <w:rPr>
      <w:vertAlign w:val="superscript"/>
    </w:rPr>
  </w:style>
  <w:style w:type="paragraph" w:styleId="EndnoteText">
    <w:name w:val="endnote text"/>
    <w:basedOn w:val="Normal"/>
    <w:link w:val="EndnoteTextChar"/>
    <w:uiPriority w:val="99"/>
    <w:unhideWhenUsed/>
    <w:rsid w:val="000F74F4"/>
    <w:pPr>
      <w:spacing w:after="0" w:line="240" w:lineRule="auto"/>
    </w:pPr>
    <w:rPr>
      <w:sz w:val="20"/>
      <w:szCs w:val="20"/>
    </w:rPr>
  </w:style>
  <w:style w:type="character" w:customStyle="1" w:styleId="EndnoteTextChar">
    <w:name w:val="Endnote Text Char"/>
    <w:basedOn w:val="DefaultParagraphFont"/>
    <w:link w:val="EndnoteText"/>
    <w:uiPriority w:val="99"/>
    <w:rsid w:val="000F74F4"/>
    <w:rPr>
      <w:sz w:val="20"/>
      <w:szCs w:val="20"/>
    </w:rPr>
  </w:style>
  <w:style w:type="character" w:styleId="EndnoteReference">
    <w:name w:val="endnote reference"/>
    <w:basedOn w:val="DefaultParagraphFont"/>
    <w:uiPriority w:val="99"/>
    <w:semiHidden/>
    <w:unhideWhenUsed/>
    <w:rsid w:val="000F74F4"/>
    <w:rPr>
      <w:vertAlign w:val="superscript"/>
    </w:rPr>
  </w:style>
  <w:style w:type="paragraph" w:styleId="Header">
    <w:name w:val="header"/>
    <w:aliases w:val="6_G"/>
    <w:basedOn w:val="Normal"/>
    <w:link w:val="HeaderChar"/>
    <w:unhideWhenUsed/>
    <w:rsid w:val="00997215"/>
    <w:pPr>
      <w:tabs>
        <w:tab w:val="center" w:pos="4536"/>
        <w:tab w:val="right" w:pos="9072"/>
      </w:tabs>
      <w:spacing w:after="0" w:line="240" w:lineRule="auto"/>
    </w:pPr>
  </w:style>
  <w:style w:type="character" w:customStyle="1" w:styleId="HeaderChar">
    <w:name w:val="Header Char"/>
    <w:aliases w:val="6_G Char"/>
    <w:basedOn w:val="DefaultParagraphFont"/>
    <w:link w:val="Header"/>
    <w:rsid w:val="00997215"/>
  </w:style>
  <w:style w:type="paragraph" w:styleId="Footer">
    <w:name w:val="footer"/>
    <w:basedOn w:val="Normal"/>
    <w:link w:val="FooterChar"/>
    <w:uiPriority w:val="99"/>
    <w:unhideWhenUsed/>
    <w:rsid w:val="00997215"/>
    <w:pPr>
      <w:tabs>
        <w:tab w:val="center" w:pos="4536"/>
        <w:tab w:val="right" w:pos="9072"/>
      </w:tabs>
      <w:spacing w:after="0" w:line="240" w:lineRule="auto"/>
    </w:pPr>
  </w:style>
  <w:style w:type="character" w:customStyle="1" w:styleId="FooterChar">
    <w:name w:val="Footer Char"/>
    <w:basedOn w:val="DefaultParagraphFont"/>
    <w:link w:val="Footer"/>
    <w:uiPriority w:val="99"/>
    <w:rsid w:val="00997215"/>
  </w:style>
  <w:style w:type="character" w:styleId="FollowedHyperlink">
    <w:name w:val="FollowedHyperlink"/>
    <w:basedOn w:val="DefaultParagraphFont"/>
    <w:uiPriority w:val="99"/>
    <w:semiHidden/>
    <w:unhideWhenUsed/>
    <w:rsid w:val="008A1B74"/>
    <w:rPr>
      <w:color w:val="954F72" w:themeColor="followedHyperlink"/>
      <w:u w:val="single"/>
    </w:rPr>
  </w:style>
  <w:style w:type="paragraph" w:styleId="NormalWeb">
    <w:name w:val="Normal (Web)"/>
    <w:basedOn w:val="Normal"/>
    <w:uiPriority w:val="99"/>
    <w:unhideWhenUsed/>
    <w:rsid w:val="00CC6B37"/>
    <w:pPr>
      <w:spacing w:before="100" w:beforeAutospacing="1" w:after="100" w:afterAutospacing="1" w:line="240" w:lineRule="auto"/>
    </w:pPr>
    <w:rPr>
      <w:rFonts w:ascii="Times New Roman" w:eastAsia="Times New Roman" w:hAnsi="Times New Roman" w:cs="Times New Roman"/>
      <w:sz w:val="24"/>
      <w:szCs w:val="24"/>
      <w:lang w:val="en-US"/>
    </w:rPr>
  </w:style>
  <w:style w:type="character" w:styleId="CommentReference">
    <w:name w:val="annotation reference"/>
    <w:basedOn w:val="DefaultParagraphFont"/>
    <w:uiPriority w:val="99"/>
    <w:semiHidden/>
    <w:unhideWhenUsed/>
    <w:rsid w:val="00815599"/>
    <w:rPr>
      <w:sz w:val="16"/>
      <w:szCs w:val="16"/>
    </w:rPr>
  </w:style>
  <w:style w:type="paragraph" w:styleId="CommentText">
    <w:name w:val="annotation text"/>
    <w:basedOn w:val="Normal"/>
    <w:link w:val="CommentTextChar"/>
    <w:uiPriority w:val="99"/>
    <w:unhideWhenUsed/>
    <w:rsid w:val="00815599"/>
    <w:pPr>
      <w:spacing w:line="240" w:lineRule="auto"/>
    </w:pPr>
    <w:rPr>
      <w:sz w:val="20"/>
      <w:szCs w:val="20"/>
    </w:rPr>
  </w:style>
  <w:style w:type="character" w:customStyle="1" w:styleId="CommentTextChar">
    <w:name w:val="Comment Text Char"/>
    <w:basedOn w:val="DefaultParagraphFont"/>
    <w:link w:val="CommentText"/>
    <w:uiPriority w:val="99"/>
    <w:rsid w:val="00815599"/>
    <w:rPr>
      <w:sz w:val="20"/>
      <w:szCs w:val="20"/>
    </w:rPr>
  </w:style>
  <w:style w:type="paragraph" w:styleId="CommentSubject">
    <w:name w:val="annotation subject"/>
    <w:basedOn w:val="CommentText"/>
    <w:next w:val="CommentText"/>
    <w:link w:val="CommentSubjectChar"/>
    <w:uiPriority w:val="99"/>
    <w:semiHidden/>
    <w:unhideWhenUsed/>
    <w:rsid w:val="00815599"/>
    <w:rPr>
      <w:b/>
      <w:bCs/>
    </w:rPr>
  </w:style>
  <w:style w:type="character" w:customStyle="1" w:styleId="CommentSubjectChar">
    <w:name w:val="Comment Subject Char"/>
    <w:basedOn w:val="CommentTextChar"/>
    <w:link w:val="CommentSubject"/>
    <w:uiPriority w:val="99"/>
    <w:semiHidden/>
    <w:rsid w:val="00815599"/>
    <w:rPr>
      <w:b/>
      <w:bCs/>
      <w:sz w:val="20"/>
      <w:szCs w:val="20"/>
    </w:rPr>
  </w:style>
  <w:style w:type="paragraph" w:styleId="BalloonText">
    <w:name w:val="Balloon Text"/>
    <w:basedOn w:val="Normal"/>
    <w:link w:val="BalloonTextChar"/>
    <w:uiPriority w:val="99"/>
    <w:semiHidden/>
    <w:unhideWhenUsed/>
    <w:rsid w:val="0081559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15599"/>
    <w:rPr>
      <w:rFonts w:ascii="Segoe UI" w:hAnsi="Segoe UI" w:cs="Segoe UI"/>
      <w:sz w:val="18"/>
      <w:szCs w:val="18"/>
    </w:rPr>
  </w:style>
  <w:style w:type="character" w:styleId="Strong">
    <w:name w:val="Strong"/>
    <w:basedOn w:val="DefaultParagraphFont"/>
    <w:uiPriority w:val="22"/>
    <w:qFormat/>
    <w:rsid w:val="00EA5201"/>
    <w:rPr>
      <w:b/>
      <w:bCs/>
    </w:rPr>
  </w:style>
  <w:style w:type="character" w:customStyle="1" w:styleId="highlight">
    <w:name w:val="highlight"/>
    <w:basedOn w:val="DefaultParagraphFont"/>
    <w:rsid w:val="00B06121"/>
  </w:style>
  <w:style w:type="character" w:customStyle="1" w:styleId="lblnewsfulltext">
    <w:name w:val="lblnewsfulltext"/>
    <w:basedOn w:val="DefaultParagraphFont"/>
    <w:rsid w:val="00252C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7153055">
      <w:bodyDiv w:val="1"/>
      <w:marLeft w:val="0"/>
      <w:marRight w:val="0"/>
      <w:marTop w:val="0"/>
      <w:marBottom w:val="0"/>
      <w:divBdr>
        <w:top w:val="none" w:sz="0" w:space="0" w:color="auto"/>
        <w:left w:val="none" w:sz="0" w:space="0" w:color="auto"/>
        <w:bottom w:val="none" w:sz="0" w:space="0" w:color="auto"/>
        <w:right w:val="none" w:sz="0" w:space="0" w:color="auto"/>
      </w:divBdr>
    </w:div>
    <w:div w:id="431096799">
      <w:bodyDiv w:val="1"/>
      <w:marLeft w:val="0"/>
      <w:marRight w:val="0"/>
      <w:marTop w:val="0"/>
      <w:marBottom w:val="0"/>
      <w:divBdr>
        <w:top w:val="none" w:sz="0" w:space="0" w:color="auto"/>
        <w:left w:val="none" w:sz="0" w:space="0" w:color="auto"/>
        <w:bottom w:val="none" w:sz="0" w:space="0" w:color="auto"/>
        <w:right w:val="none" w:sz="0" w:space="0" w:color="auto"/>
      </w:divBdr>
    </w:div>
    <w:div w:id="572281851">
      <w:bodyDiv w:val="1"/>
      <w:marLeft w:val="0"/>
      <w:marRight w:val="0"/>
      <w:marTop w:val="0"/>
      <w:marBottom w:val="0"/>
      <w:divBdr>
        <w:top w:val="none" w:sz="0" w:space="0" w:color="auto"/>
        <w:left w:val="none" w:sz="0" w:space="0" w:color="auto"/>
        <w:bottom w:val="none" w:sz="0" w:space="0" w:color="auto"/>
        <w:right w:val="none" w:sz="0" w:space="0" w:color="auto"/>
      </w:divBdr>
    </w:div>
    <w:div w:id="606960067">
      <w:bodyDiv w:val="1"/>
      <w:marLeft w:val="0"/>
      <w:marRight w:val="0"/>
      <w:marTop w:val="0"/>
      <w:marBottom w:val="0"/>
      <w:divBdr>
        <w:top w:val="none" w:sz="0" w:space="0" w:color="auto"/>
        <w:left w:val="none" w:sz="0" w:space="0" w:color="auto"/>
        <w:bottom w:val="none" w:sz="0" w:space="0" w:color="auto"/>
        <w:right w:val="none" w:sz="0" w:space="0" w:color="auto"/>
      </w:divBdr>
    </w:div>
    <w:div w:id="743644171">
      <w:bodyDiv w:val="1"/>
      <w:marLeft w:val="0"/>
      <w:marRight w:val="0"/>
      <w:marTop w:val="0"/>
      <w:marBottom w:val="0"/>
      <w:divBdr>
        <w:top w:val="none" w:sz="0" w:space="0" w:color="auto"/>
        <w:left w:val="none" w:sz="0" w:space="0" w:color="auto"/>
        <w:bottom w:val="none" w:sz="0" w:space="0" w:color="auto"/>
        <w:right w:val="none" w:sz="0" w:space="0" w:color="auto"/>
      </w:divBdr>
    </w:div>
    <w:div w:id="1201548804">
      <w:bodyDiv w:val="1"/>
      <w:marLeft w:val="0"/>
      <w:marRight w:val="0"/>
      <w:marTop w:val="0"/>
      <w:marBottom w:val="0"/>
      <w:divBdr>
        <w:top w:val="none" w:sz="0" w:space="0" w:color="auto"/>
        <w:left w:val="none" w:sz="0" w:space="0" w:color="auto"/>
        <w:bottom w:val="none" w:sz="0" w:space="0" w:color="auto"/>
        <w:right w:val="none" w:sz="0" w:space="0" w:color="auto"/>
      </w:divBdr>
    </w:div>
    <w:div w:id="1379091585">
      <w:bodyDiv w:val="1"/>
      <w:marLeft w:val="0"/>
      <w:marRight w:val="0"/>
      <w:marTop w:val="0"/>
      <w:marBottom w:val="0"/>
      <w:divBdr>
        <w:top w:val="none" w:sz="0" w:space="0" w:color="auto"/>
        <w:left w:val="none" w:sz="0" w:space="0" w:color="auto"/>
        <w:bottom w:val="none" w:sz="0" w:space="0" w:color="auto"/>
        <w:right w:val="none" w:sz="0" w:space="0" w:color="auto"/>
      </w:divBdr>
    </w:div>
    <w:div w:id="1699503123">
      <w:bodyDiv w:val="1"/>
      <w:marLeft w:val="0"/>
      <w:marRight w:val="0"/>
      <w:marTop w:val="0"/>
      <w:marBottom w:val="0"/>
      <w:divBdr>
        <w:top w:val="none" w:sz="0" w:space="0" w:color="auto"/>
        <w:left w:val="none" w:sz="0" w:space="0" w:color="auto"/>
        <w:bottom w:val="none" w:sz="0" w:space="0" w:color="auto"/>
        <w:right w:val="none" w:sz="0" w:space="0" w:color="auto"/>
      </w:divBdr>
    </w:div>
    <w:div w:id="1771968622">
      <w:bodyDiv w:val="1"/>
      <w:marLeft w:val="0"/>
      <w:marRight w:val="0"/>
      <w:marTop w:val="0"/>
      <w:marBottom w:val="0"/>
      <w:divBdr>
        <w:top w:val="none" w:sz="0" w:space="0" w:color="auto"/>
        <w:left w:val="none" w:sz="0" w:space="0" w:color="auto"/>
        <w:bottom w:val="none" w:sz="0" w:space="0" w:color="auto"/>
        <w:right w:val="none" w:sz="0" w:space="0" w:color="auto"/>
      </w:divBdr>
      <w:divsChild>
        <w:div w:id="13072819">
          <w:marLeft w:val="0"/>
          <w:marRight w:val="0"/>
          <w:marTop w:val="0"/>
          <w:marBottom w:val="0"/>
          <w:divBdr>
            <w:top w:val="none" w:sz="0" w:space="0" w:color="auto"/>
            <w:left w:val="none" w:sz="0" w:space="0" w:color="auto"/>
            <w:bottom w:val="none" w:sz="0" w:space="0" w:color="auto"/>
            <w:right w:val="none" w:sz="0" w:space="0" w:color="auto"/>
          </w:divBdr>
          <w:divsChild>
            <w:div w:id="1741442774">
              <w:marLeft w:val="0"/>
              <w:marRight w:val="0"/>
              <w:marTop w:val="0"/>
              <w:marBottom w:val="0"/>
              <w:divBdr>
                <w:top w:val="none" w:sz="0" w:space="0" w:color="auto"/>
                <w:left w:val="none" w:sz="0" w:space="0" w:color="auto"/>
                <w:bottom w:val="none" w:sz="0" w:space="0" w:color="auto"/>
                <w:right w:val="none" w:sz="0" w:space="0" w:color="auto"/>
              </w:divBdr>
              <w:divsChild>
                <w:div w:id="1070736896">
                  <w:marLeft w:val="0"/>
                  <w:marRight w:val="0"/>
                  <w:marTop w:val="0"/>
                  <w:marBottom w:val="0"/>
                  <w:divBdr>
                    <w:top w:val="none" w:sz="0" w:space="0" w:color="auto"/>
                    <w:left w:val="none" w:sz="0" w:space="0" w:color="auto"/>
                    <w:bottom w:val="none" w:sz="0" w:space="0" w:color="auto"/>
                    <w:right w:val="none" w:sz="0" w:space="0" w:color="auto"/>
                  </w:divBdr>
                  <w:divsChild>
                    <w:div w:id="1873766135">
                      <w:marLeft w:val="0"/>
                      <w:marRight w:val="0"/>
                      <w:marTop w:val="0"/>
                      <w:marBottom w:val="0"/>
                      <w:divBdr>
                        <w:top w:val="none" w:sz="0" w:space="0" w:color="auto"/>
                        <w:left w:val="none" w:sz="0" w:space="0" w:color="auto"/>
                        <w:bottom w:val="none" w:sz="0" w:space="0" w:color="auto"/>
                        <w:right w:val="none" w:sz="0" w:space="0" w:color="auto"/>
                      </w:divBdr>
                      <w:divsChild>
                        <w:div w:id="656300078">
                          <w:marLeft w:val="1200"/>
                          <w:marRight w:val="1200"/>
                          <w:marTop w:val="150"/>
                          <w:marBottom w:val="150"/>
                          <w:divBdr>
                            <w:top w:val="none" w:sz="0" w:space="0" w:color="auto"/>
                            <w:left w:val="none" w:sz="0" w:space="0" w:color="auto"/>
                            <w:bottom w:val="none" w:sz="0" w:space="0" w:color="auto"/>
                            <w:right w:val="none" w:sz="0" w:space="0" w:color="auto"/>
                          </w:divBdr>
                          <w:divsChild>
                            <w:div w:id="18884476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87411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undocs.org/en/A/HRC/43/50/add.1" TargetMode="External"/><Relationship Id="rId13" Type="http://schemas.openxmlformats.org/officeDocument/2006/relationships/hyperlink" Target="https://www.ohchr.org/EN/NewsEvents/Pages/DisplayNews.aspx?NewsID=22772&amp;LangID=E" TargetMode="External"/><Relationship Id="rId18" Type="http://schemas.openxmlformats.org/officeDocument/2006/relationships/hyperlink" Target="https://documents-dds-ny.un.org/doc/UNDOC/GEN/G19/184/00/PDF/G1918400.pdf?OpenElement" TargetMode="External"/><Relationship Id="rId26" Type="http://schemas.openxmlformats.org/officeDocument/2006/relationships/hyperlink" Target="https://tbinternet.ohchr.org/_layouts/15/treatybodyexternal/Download.aspx?symbolno=CERD/C/POL/CO/22-24&amp;Lang=En" TargetMode="External"/><Relationship Id="rId39" Type="http://schemas.openxmlformats.org/officeDocument/2006/relationships/hyperlink" Target="https://undocs.org/en/A/HRC/43/50/add.1" TargetMode="External"/><Relationship Id="rId3" Type="http://schemas.openxmlformats.org/officeDocument/2006/relationships/styles" Target="styles.xml"/><Relationship Id="rId21" Type="http://schemas.openxmlformats.org/officeDocument/2006/relationships/hyperlink" Target="https://tbinternet.ohchr.org/_layouts/15/treatybodyexternal/Download.aspx?symbolno=CAT/C/POL/CO/7&amp;Lang=En" TargetMode="External"/><Relationship Id="rId34" Type="http://schemas.openxmlformats.org/officeDocument/2006/relationships/hyperlink" Target="https://undocs.org/en/A/HRC/43/50/add.1" TargetMode="External"/><Relationship Id="rId42" Type="http://schemas.openxmlformats.org/officeDocument/2006/relationships/hyperlink" Target="https://spcommreports.ohchr.org/TMResultsBase/DownLoadPublicCommunicationFile?gId=23747" TargetMode="External"/><Relationship Id="rId47"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www.ohchr.org/EN/NewsEvents/Pages/DisplayNews.aspx?NewsID=25621&amp;LangID=E" TargetMode="External"/><Relationship Id="rId17" Type="http://schemas.openxmlformats.org/officeDocument/2006/relationships/hyperlink" Target="https://tbinternet.ohchr.org/_layouts/15/treatybodyexternal/Download.aspx?symbolno=CAT%2fOP%2fPOL%2fRONPM%2f1&amp;Lang=en" TargetMode="External"/><Relationship Id="rId25" Type="http://schemas.openxmlformats.org/officeDocument/2006/relationships/hyperlink" Target="https://tbinternet.ohchr.org/_layouts/15/treatybodyexternal/Download.aspx?symbolno=CRPD/C/POL/CO/1&amp;Lang=En" TargetMode="External"/><Relationship Id="rId33" Type="http://schemas.openxmlformats.org/officeDocument/2006/relationships/hyperlink" Target="https://undocs.org/en/A/HRC/42/30" TargetMode="External"/><Relationship Id="rId38" Type="http://schemas.openxmlformats.org/officeDocument/2006/relationships/hyperlink" Target="https://undocs.org/en/A/HRC/43/50/add.1" TargetMode="External"/><Relationship Id="rId46"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tbinternet.ohchr.org/_layouts/15/treatybodyexternal/Download.aspx?symbolno=CERD/C/POL/CO/22-24&amp;Lang=En" TargetMode="External"/><Relationship Id="rId20" Type="http://schemas.openxmlformats.org/officeDocument/2006/relationships/hyperlink" Target="https://tbinternet.ohchr.org/_layouts/15/treatybodyexternal/Download.aspx?symbolno=CERD/C/POL/CO/22-24&amp;Lang=En" TargetMode="External"/><Relationship Id="rId29" Type="http://schemas.openxmlformats.org/officeDocument/2006/relationships/hyperlink" Target="https://www.ohchr.org/EN/NewsEvents/Pages/DisplayNews.aspx?NewsID=25447&amp;LangID=E" TargetMode="External"/><Relationship Id="rId41" Type="http://schemas.openxmlformats.org/officeDocument/2006/relationships/hyperlink" Target="https://tbinternet.ohchr.org/_layouts/15/treatybodyexternal/Download.aspx?symbolno=CRPD/C/POL/CO/1&amp;Lang=E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ohchr.org/EN/NewsEvents/Pages/DisplayNews.aspx?NewsID=25523&amp;LangID=E" TargetMode="External"/><Relationship Id="rId24" Type="http://schemas.openxmlformats.org/officeDocument/2006/relationships/hyperlink" Target="https://tbinternet.ohchr.org/_layouts/15/treatybodyexternal/Download.aspx?symbolno=CAT%2fOP%2fPOL%2fRONPM%2f1&amp;Lang=en" TargetMode="External"/><Relationship Id="rId32" Type="http://schemas.openxmlformats.org/officeDocument/2006/relationships/hyperlink" Target="https://tbinternet.ohchr.org/_layouts/15/treatybodyexternal/Download.aspx?symbolno=CAT/C/POL/CO/7&amp;Lang=En" TargetMode="External"/><Relationship Id="rId37" Type="http://schemas.openxmlformats.org/officeDocument/2006/relationships/hyperlink" Target="https://tbinternet.ohchr.org/_layouts/15/treatybodyexternal/Download.aspx?symbolno=CRPD/C/POL/CO/1&amp;Lang=En" TargetMode="External"/><Relationship Id="rId40" Type="http://schemas.openxmlformats.org/officeDocument/2006/relationships/hyperlink" Target="https://documents-dds-ny.un.org/doc/UNDOC/GEN/G19/184/00/PDF/G1918400.pdf?OpenElement" TargetMode="External"/><Relationship Id="rId45"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tbinternet.ohchr.org/_layouts/15/treatybodyexternal/Download.aspx?symbolno=CAT/C/POL/CO/7&amp;Lang=En" TargetMode="External"/><Relationship Id="rId23" Type="http://schemas.openxmlformats.org/officeDocument/2006/relationships/hyperlink" Target="https://tbinternet.ohchr.org/_layouts/15/treatybodyexternal/Download.aspx?symbolno=CRPD/C/POL/CO/1&amp;Lang=En" TargetMode="External"/><Relationship Id="rId28" Type="http://schemas.openxmlformats.org/officeDocument/2006/relationships/hyperlink" Target="https://undocs.org/en/A/HRC/43/50/add.1" TargetMode="External"/><Relationship Id="rId36" Type="http://schemas.openxmlformats.org/officeDocument/2006/relationships/hyperlink" Target="https://spcommreports.ohchr.org/TMResultsBase/DownLoadPublicCommunicationFile?gId=24376" TargetMode="External"/><Relationship Id="rId10" Type="http://schemas.openxmlformats.org/officeDocument/2006/relationships/hyperlink" Target="https://spcommreports.ohchr.org/Tmsearch/TMDocuments" TargetMode="External"/><Relationship Id="rId19" Type="http://schemas.openxmlformats.org/officeDocument/2006/relationships/hyperlink" Target="https://tbinternet.ohchr.org/_layouts/15/treatybodyexternal/Download.aspx?symbolno=CRPD/C/POL/CO/1&amp;Lang=En" TargetMode="External"/><Relationship Id="rId31" Type="http://schemas.openxmlformats.org/officeDocument/2006/relationships/hyperlink" Target="https://tbinternet.ohchr.org/_layouts/15/treatybodyexternal/Download.aspx?symbolno=CAT%2fOP%2fPOL%2fRONPM%2f1&amp;Lang=en" TargetMode="External"/><Relationship Id="rId44" Type="http://schemas.openxmlformats.org/officeDocument/2006/relationships/hyperlink" Target="https://spcommreports.ohchr.org/Tmsearch/TMDocuments" TargetMode="External"/><Relationship Id="rId4" Type="http://schemas.openxmlformats.org/officeDocument/2006/relationships/settings" Target="settings.xml"/><Relationship Id="rId9" Type="http://schemas.openxmlformats.org/officeDocument/2006/relationships/hyperlink" Target="https://spcommreports.ohchr.org/TMResultsBase/DownLoadPublicCommunicationFile?gId=24624" TargetMode="External"/><Relationship Id="rId14" Type="http://schemas.openxmlformats.org/officeDocument/2006/relationships/hyperlink" Target="file:///C:\Users\Marie-Dominique\Documents\1%20-%20ROE\RoL\EU%20ANNUAL%20REPORT%20ROL\2021\country%20chapters\back%20from%20GVA\A\HRC\38\38\Add.1" TargetMode="External"/><Relationship Id="rId22" Type="http://schemas.openxmlformats.org/officeDocument/2006/relationships/hyperlink" Target="https://documents-dds-ny.un.org/doc/UNDOC/GEN/G19/184/00/PDF/G1918400.pdf?OpenElement" TargetMode="External"/><Relationship Id="rId27" Type="http://schemas.openxmlformats.org/officeDocument/2006/relationships/hyperlink" Target="https://tbinternet.ohchr.org/_layouts/15/treatybodyexternal/Download.aspx?symbolno=CAT/C/POL/CO/7&amp;Lang=En" TargetMode="External"/><Relationship Id="rId30" Type="http://schemas.openxmlformats.org/officeDocument/2006/relationships/hyperlink" Target="https://undocs.org/en/A/HRC/43/50/add.1" TargetMode="External"/><Relationship Id="rId35" Type="http://schemas.openxmlformats.org/officeDocument/2006/relationships/hyperlink" Target="https://tbinternet.ohchr.org/_layouts/15/treatybodyexternal/Download.aspx?symbolno=CERD/C/POL/CO/22-24&amp;Lang=En" TargetMode="External"/><Relationship Id="rId43" Type="http://schemas.openxmlformats.org/officeDocument/2006/relationships/hyperlink" Target="https://spcommreports.ohchr.org/TMResultsBase/DownLoadPublicCommunicationFile?gId=24052"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873A43-0483-4701-BC77-C8764F411A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5253</Words>
  <Characters>29946</Characters>
  <Application>Microsoft Office Word</Application>
  <DocSecurity>0</DocSecurity>
  <Lines>249</Lines>
  <Paragraphs>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35129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Sven</dc:creator>
  <cp:keywords/>
  <dc:description/>
  <cp:lastModifiedBy>Edyta</cp:lastModifiedBy>
  <cp:revision>2</cp:revision>
  <dcterms:created xsi:type="dcterms:W3CDTF">2021-03-05T14:58:00Z</dcterms:created>
  <dcterms:modified xsi:type="dcterms:W3CDTF">2021-03-05T14:58:00Z</dcterms:modified>
</cp:coreProperties>
</file>